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43E50">
      <w:pPr>
        <w:widowControl/>
        <w:spacing w:before="100" w:beforeAutospacing="1" w:after="100" w:afterAutospacing="1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附件1: 2025年度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中学生卓越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计划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论文评审与赋分说明</w:t>
      </w:r>
    </w:p>
    <w:p w14:paraId="3B434075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为保障论文评审工作的科学性与公平性，现将本届中学生卓越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计划</w:t>
      </w:r>
      <w:r>
        <w:rPr>
          <w:rFonts w:ascii="宋体" w:hAnsi="宋体" w:eastAsia="宋体" w:cs="宋体"/>
          <w:color w:val="000000"/>
          <w:kern w:val="0"/>
          <w:sz w:val="24"/>
        </w:rPr>
        <w:t>的评分机制、地区赋分规则说明如下：</w:t>
      </w:r>
    </w:p>
    <w:p w14:paraId="759853BD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pict>
          <v:rect id="_x0000_i1025" o:spt="1" style="height:0.05pt;width:415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DB784A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color w:val="000000"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7"/>
          <w:szCs w:val="27"/>
        </w:rPr>
        <w:t>一、论文评分与入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/>
        </w:rPr>
        <w:t>选</w:t>
      </w:r>
      <w:r>
        <w:rPr>
          <w:rFonts w:ascii="宋体" w:hAnsi="宋体" w:eastAsia="宋体" w:cs="宋体"/>
          <w:b/>
          <w:bCs/>
          <w:color w:val="000000"/>
          <w:kern w:val="0"/>
          <w:sz w:val="27"/>
          <w:szCs w:val="27"/>
        </w:rPr>
        <w:t>规则</w:t>
      </w:r>
    </w:p>
    <w:p w14:paraId="3C5BB58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每篇论文由专家评委按</w:t>
      </w: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10分制</w:t>
      </w:r>
      <w:r>
        <w:rPr>
          <w:rFonts w:ascii="宋体" w:hAnsi="宋体" w:eastAsia="宋体" w:cs="宋体"/>
          <w:color w:val="000000"/>
          <w:kern w:val="0"/>
          <w:sz w:val="24"/>
        </w:rPr>
        <w:t>独立评分，在此基础上，组委会根据地区类型统一赋予</w:t>
      </w: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额外加分</w:t>
      </w:r>
      <w:r>
        <w:rPr>
          <w:rFonts w:ascii="宋体" w:hAnsi="宋体" w:eastAsia="宋体" w:cs="宋体"/>
          <w:color w:val="000000"/>
          <w:kern w:val="0"/>
          <w:sz w:val="24"/>
        </w:rPr>
        <w:t>（B类+0.2分，C类+0.5分），用于综合排序及入围评选。</w:t>
      </w:r>
    </w:p>
    <w:p w14:paraId="1F96D0E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本次评审采用</w:t>
      </w: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匿名评审制</w:t>
      </w:r>
      <w:r>
        <w:rPr>
          <w:rFonts w:ascii="宋体" w:hAnsi="宋体" w:eastAsia="宋体" w:cs="宋体"/>
          <w:color w:val="000000"/>
          <w:kern w:val="0"/>
          <w:sz w:val="24"/>
        </w:rPr>
        <w:t>，每篇论文由2–3位专家独立评分，取平均值作为专家打分，最终加上地区加分得出总成绩。必要时可设定建议入围线。</w:t>
      </w:r>
    </w:p>
    <w:p w14:paraId="1B50B36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  <w:t>入选“卓越论文”的名单</w:t>
      </w:r>
      <w:r>
        <w:rPr>
          <w:rFonts w:ascii="宋体" w:hAnsi="宋体" w:eastAsia="宋体" w:cs="宋体"/>
          <w:color w:val="000000"/>
          <w:kern w:val="0"/>
          <w:sz w:val="24"/>
        </w:rPr>
        <w:t>以</w:t>
      </w:r>
      <w:r>
        <w:rPr>
          <w:rFonts w:ascii="宋体" w:hAnsi="宋体" w:eastAsia="宋体" w:cs="宋体"/>
          <w:color w:val="000000"/>
          <w:kern w:val="0"/>
          <w:sz w:val="24"/>
        </w:rPr>
        <w:t>是否能参加</w:t>
      </w: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现场答辩环节</w:t>
      </w:r>
      <w:r>
        <w:rPr>
          <w:rFonts w:ascii="宋体" w:hAnsi="宋体" w:eastAsia="宋体" w:cs="宋体"/>
          <w:color w:val="000000"/>
          <w:kern w:val="0"/>
          <w:sz w:val="24"/>
        </w:rPr>
        <w:t>为最终确定依据，</w:t>
      </w: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未能参会视为自动放弃，不予递补</w:t>
      </w:r>
      <w:r>
        <w:rPr>
          <w:rFonts w:ascii="宋体" w:hAnsi="宋体" w:eastAsia="宋体" w:cs="宋体"/>
          <w:color w:val="000000"/>
          <w:kern w:val="0"/>
          <w:sz w:val="24"/>
        </w:rPr>
        <w:t>。</w:t>
      </w:r>
    </w:p>
    <w:p w14:paraId="6E28E9FD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pict>
          <v:rect id="_x0000_i1026" o:spt="1" style="height:0.05pt;width:415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981DEC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color w:val="000000"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7"/>
          <w:szCs w:val="27"/>
        </w:rPr>
        <w:t>二、评分标准说明</w:t>
      </w:r>
    </w:p>
    <w:p w14:paraId="6534A1C1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本次中学生卓越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计划</w:t>
      </w:r>
      <w:r>
        <w:rPr>
          <w:rFonts w:ascii="宋体" w:hAnsi="宋体" w:eastAsia="宋体" w:cs="宋体"/>
          <w:color w:val="000000"/>
          <w:kern w:val="0"/>
          <w:sz w:val="24"/>
        </w:rPr>
        <w:t>论文评审采用</w:t>
      </w: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10分制评分体系</w:t>
      </w:r>
      <w:r>
        <w:rPr>
          <w:rFonts w:ascii="宋体" w:hAnsi="宋体" w:eastAsia="宋体" w:cs="宋体"/>
          <w:color w:val="000000"/>
          <w:kern w:val="0"/>
          <w:sz w:val="24"/>
        </w:rPr>
        <w:t>，参考了当前科研论文的主流评审维度，结合中学生科研特点进行了适度简化。评审内容涵盖以下6个方面：</w:t>
      </w:r>
    </w:p>
    <w:p w14:paraId="1F1F957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选题价值</w:t>
      </w:r>
      <w:r>
        <w:rPr>
          <w:rFonts w:ascii="宋体" w:hAnsi="宋体" w:eastAsia="宋体" w:cs="宋体"/>
          <w:color w:val="000000"/>
          <w:kern w:val="0"/>
          <w:sz w:val="24"/>
        </w:rPr>
        <w:t>：是否具备科学意义、现实关怀或新颖视角</w:t>
      </w:r>
    </w:p>
    <w:p w14:paraId="4DCCFCF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科学思维</w:t>
      </w:r>
      <w:r>
        <w:rPr>
          <w:rFonts w:ascii="宋体" w:hAnsi="宋体" w:eastAsia="宋体" w:cs="宋体"/>
          <w:color w:val="000000"/>
          <w:kern w:val="0"/>
          <w:sz w:val="24"/>
        </w:rPr>
        <w:t>：是否体现问题意识、逻辑推理与研究思路</w:t>
      </w:r>
    </w:p>
    <w:p w14:paraId="437381E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研究方法</w:t>
      </w:r>
      <w:r>
        <w:rPr>
          <w:rFonts w:ascii="宋体" w:hAnsi="宋体" w:eastAsia="宋体" w:cs="宋体"/>
          <w:color w:val="000000"/>
          <w:kern w:val="0"/>
          <w:sz w:val="24"/>
        </w:rPr>
        <w:t>：方法设计是否合理，是否具备可行性</w:t>
      </w:r>
    </w:p>
    <w:p w14:paraId="04F5320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结果呈现</w:t>
      </w:r>
      <w:r>
        <w:rPr>
          <w:rFonts w:ascii="宋体" w:hAnsi="宋体" w:eastAsia="宋体" w:cs="宋体"/>
          <w:color w:val="000000"/>
          <w:kern w:val="0"/>
          <w:sz w:val="24"/>
        </w:rPr>
        <w:t>：结果是否清晰，有无图表支持和分析</w:t>
      </w:r>
    </w:p>
    <w:p w14:paraId="6710EBD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论文表达</w:t>
      </w:r>
      <w:r>
        <w:rPr>
          <w:rFonts w:ascii="宋体" w:hAnsi="宋体" w:eastAsia="宋体" w:cs="宋体"/>
          <w:color w:val="000000"/>
          <w:kern w:val="0"/>
          <w:sz w:val="24"/>
        </w:rPr>
        <w:t>：语言是否通顺、结构是否规范</w:t>
      </w:r>
    </w:p>
    <w:p w14:paraId="02AAFBA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个人理解与参与</w:t>
      </w:r>
      <w:r>
        <w:rPr>
          <w:rFonts w:ascii="宋体" w:hAnsi="宋体" w:eastAsia="宋体" w:cs="宋体"/>
          <w:color w:val="000000"/>
          <w:kern w:val="0"/>
          <w:sz w:val="24"/>
        </w:rPr>
        <w:t>：是否体现学生本人真实参与和理解</w:t>
      </w:r>
    </w:p>
    <w:p w14:paraId="6A9F0A71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该评分体系参考了中国科学院大学、中科院生物物理研究所等单位的中学生科研评价实践，以及ISEF、Google Science Fair等国际青少年科研活动的评审原则，强调科学性、公平性与激励性并重，力求通过科学、公正的方式，发现和鼓励学生在科学素养、研究能力和表达能力等方面的成长潜力。</w:t>
      </w:r>
    </w:p>
    <w:p w14:paraId="0100771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pict>
          <v:rect id="_x0000_i1027" o:spt="1" style="height:0.05pt;width:415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B27870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color w:val="000000"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7"/>
          <w:szCs w:val="27"/>
        </w:rPr>
        <w:t>三、地区赋分机制说明</w:t>
      </w:r>
      <w:bookmarkStart w:id="0" w:name="_GoBack"/>
      <w:bookmarkEnd w:id="0"/>
    </w:p>
    <w:p w14:paraId="6F437BEE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为更充分体现教育公平导向，激励来自教育资源相对薄弱地区的中学生参与科学探索，本次论文评审特别设立“</w:t>
      </w: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地区均衡赋分</w:t>
      </w:r>
      <w:r>
        <w:rPr>
          <w:rFonts w:ascii="宋体" w:hAnsi="宋体" w:eastAsia="宋体" w:cs="宋体"/>
          <w:color w:val="000000"/>
          <w:kern w:val="0"/>
          <w:sz w:val="24"/>
        </w:rPr>
        <w:t>”机制，按参赛学生所在省份的“双一流”高校数量划分：</w:t>
      </w:r>
    </w:p>
    <w:p w14:paraId="7E999746">
      <w:pPr>
        <w:widowControl/>
        <w:spacing w:before="100" w:beforeAutospacing="1" w:after="100" w:afterAutospacing="1" w:line="240" w:lineRule="auto"/>
        <w:jc w:val="left"/>
        <w:rPr>
          <w:rFonts w:hint="default" w:eastAsiaTheme="minorEastAsia"/>
          <w:sz w:val="16"/>
          <w:szCs w:val="20"/>
          <w:lang w:val="en-US" w:eastAsia="zh-CN"/>
        </w:rPr>
      </w:pPr>
      <w:r>
        <w:drawing>
          <wp:inline distT="0" distB="0" distL="114300" distR="114300">
            <wp:extent cx="5261610" cy="1296035"/>
            <wp:effectExtent l="0" t="0" r="21590" b="24765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6"/>
          <w:szCs w:val="20"/>
          <w:lang w:val="en-US" w:eastAsia="zh-CN"/>
        </w:rPr>
        <w:t>【</w:t>
      </w:r>
      <w:r>
        <w:rPr>
          <w:rFonts w:hint="eastAsia"/>
          <w:sz w:val="16"/>
          <w:szCs w:val="20"/>
          <w:lang w:val="en-US" w:eastAsia="zh-CN"/>
        </w:rPr>
        <w:t>注】参考来源：http://www.moe.gov.cn/srcsite/A22/s7065/202202/W020220214318455516037.pdf</w:t>
      </w:r>
    </w:p>
    <w:p w14:paraId="3400529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A类地区（双一流高校数量 &gt;10）：</w:t>
      </w: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不加分</w:t>
      </w:r>
    </w:p>
    <w:p w14:paraId="6D8450B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B类地区（双一流高校数量 4–10）：</w:t>
      </w: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统一加 0.2 分</w:t>
      </w:r>
    </w:p>
    <w:p w14:paraId="1D75377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 xml:space="preserve">C类地区（双一流高校数量 </w:t>
      </w:r>
      <w:r>
        <w:rPr>
          <w:rFonts w:hint="default" w:ascii="Arial" w:hAnsi="Arial" w:eastAsia="宋体" w:cs="Arial"/>
          <w:color w:val="000000"/>
          <w:kern w:val="0"/>
          <w:sz w:val="24"/>
        </w:rPr>
        <w:t>≤</w:t>
      </w:r>
      <w:r>
        <w:rPr>
          <w:rFonts w:ascii="宋体" w:hAnsi="宋体" w:eastAsia="宋体" w:cs="宋体"/>
          <w:color w:val="000000"/>
          <w:kern w:val="0"/>
          <w:sz w:val="24"/>
        </w:rPr>
        <w:t>3）：</w:t>
      </w: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>统一加 0.5 分</w:t>
      </w:r>
    </w:p>
    <w:p w14:paraId="649C35C7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该加分不计入专家评分环节，由组委会在最终得分中统一计算，用于支持教育资源薄弱地区的学生参与科研实践，增强其信心与机会。</w:t>
      </w:r>
    </w:p>
    <w:p w14:paraId="048E3F18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本机制参照《全民科学素质行动规划纲要（2021—2035年）》关于“推动科普资源向基层和西部地区倾斜”的要求，并结合教育部“双一流”高校分布数据制定，力求在公平评价学术水平的同时兼顾地区差异，推动科普资源普惠共享。</w:t>
      </w:r>
    </w:p>
    <w:p w14:paraId="1AAAE686">
      <w:pPr>
        <w:widowControl/>
        <w:spacing w:before="100" w:beforeAutospacing="1" w:after="100" w:afterAutospacing="1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4"/>
          <w:lang w:val="en-US" w:eastAsia="zh-CN"/>
        </w:rPr>
        <w:t>活动最终解释权归中国生物物理学会所有。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E5AC0"/>
    <w:multiLevelType w:val="multilevel"/>
    <w:tmpl w:val="017E5AC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3EC3B7B"/>
    <w:multiLevelType w:val="multilevel"/>
    <w:tmpl w:val="23EC3B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F4D55AD"/>
    <w:multiLevelType w:val="multilevel"/>
    <w:tmpl w:val="5F4D55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3C"/>
    <w:rsid w:val="002675CC"/>
    <w:rsid w:val="002E6EDF"/>
    <w:rsid w:val="00467D48"/>
    <w:rsid w:val="005C0226"/>
    <w:rsid w:val="006B5159"/>
    <w:rsid w:val="00915FC5"/>
    <w:rsid w:val="00B16FD0"/>
    <w:rsid w:val="00CC573C"/>
    <w:rsid w:val="00DF1B9A"/>
    <w:rsid w:val="00FA1BEF"/>
    <w:rsid w:val="16362CC4"/>
    <w:rsid w:val="397D4DD6"/>
    <w:rsid w:val="3FD138C9"/>
    <w:rsid w:val="4F7E3949"/>
    <w:rsid w:val="57BD5DF0"/>
    <w:rsid w:val="5AFEFC31"/>
    <w:rsid w:val="5B5B51F6"/>
    <w:rsid w:val="5F7FE988"/>
    <w:rsid w:val="671CA671"/>
    <w:rsid w:val="6FBFB8A5"/>
    <w:rsid w:val="73BE0DCA"/>
    <w:rsid w:val="7BBF70F6"/>
    <w:rsid w:val="7DBD90CF"/>
    <w:rsid w:val="7FDF2F54"/>
    <w:rsid w:val="7FFF11E3"/>
    <w:rsid w:val="9FFEA18E"/>
    <w:rsid w:val="ABFFBDAD"/>
    <w:rsid w:val="D57F7696"/>
    <w:rsid w:val="D7F3BCA0"/>
    <w:rsid w:val="DFE8D651"/>
    <w:rsid w:val="E6676825"/>
    <w:rsid w:val="F0FD26A3"/>
    <w:rsid w:val="FEBD5A6A"/>
    <w:rsid w:val="FFEF3C6F"/>
    <w:rsid w:val="FFFFF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p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6">
    <w:name w:val="p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7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38">
    <w:name w:val="s1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824</Characters>
  <Lines>6</Lines>
  <Paragraphs>1</Paragraphs>
  <TotalTime>2</TotalTime>
  <ScaleCrop>false</ScaleCrop>
  <LinksUpToDate>false</LinksUpToDate>
  <CharactersWithSpaces>967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2025-07-01T18:54:00Z</dcterms:created>
  <dc:creator>吴帆</dc:creator>
  <cp:lastModifiedBy>Cong</cp:lastModifiedBy>
  <dcterms:modified xsi:type="dcterms:W3CDTF">2025-07-09T15:22:07Z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12316D36BA6FDF1D9F186E68010EE15E_43</vt:lpwstr>
  </property>
</Properties>
</file>