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E276C" w14:textId="0980F836" w:rsidR="00A22D4E" w:rsidRPr="008F5465" w:rsidRDefault="00A22D4E" w:rsidP="008F5465">
      <w:pPr>
        <w:widowControl/>
        <w:jc w:val="left"/>
        <w:rPr>
          <w:rFonts w:ascii="小标宋" w:eastAsia="小标宋" w:hAnsi="Tahoma" w:cs="Tahoma" w:hint="eastAsia"/>
          <w:color w:val="000000"/>
          <w:kern w:val="0"/>
          <w:sz w:val="30"/>
          <w:szCs w:val="30"/>
        </w:rPr>
      </w:pPr>
    </w:p>
    <w:tbl>
      <w:tblPr>
        <w:tblStyle w:val="a7"/>
        <w:tblW w:w="0" w:type="auto"/>
        <w:tblLook w:val="04A0" w:firstRow="1" w:lastRow="0" w:firstColumn="1" w:lastColumn="0" w:noHBand="0" w:noVBand="1"/>
      </w:tblPr>
      <w:tblGrid>
        <w:gridCol w:w="1696"/>
        <w:gridCol w:w="6600"/>
      </w:tblGrid>
      <w:tr w:rsidR="00E70573" w14:paraId="65881BA8" w14:textId="77777777" w:rsidTr="00E70573">
        <w:tc>
          <w:tcPr>
            <w:tcW w:w="1696" w:type="dxa"/>
          </w:tcPr>
          <w:p w14:paraId="08DB5592" w14:textId="77777777" w:rsidR="00FF31B8" w:rsidRPr="00166371" w:rsidRDefault="00FF31B8" w:rsidP="00FF31B8">
            <w:pPr>
              <w:snapToGrid w:val="0"/>
              <w:spacing w:beforeLines="50" w:before="156" w:afterLines="20" w:after="62" w:line="360" w:lineRule="auto"/>
              <w:rPr>
                <w:rFonts w:ascii="黑体" w:eastAsia="黑体" w:hAnsi="黑体"/>
                <w:sz w:val="28"/>
                <w:szCs w:val="28"/>
              </w:rPr>
            </w:pPr>
            <w:r>
              <w:rPr>
                <w:rFonts w:ascii="黑体" w:eastAsia="黑体" w:hAnsi="黑体" w:hint="eastAsia"/>
                <w:sz w:val="28"/>
                <w:szCs w:val="28"/>
              </w:rPr>
              <w:t>高宁</w:t>
            </w:r>
          </w:p>
        </w:tc>
        <w:tc>
          <w:tcPr>
            <w:tcW w:w="6600" w:type="dxa"/>
          </w:tcPr>
          <w:p w14:paraId="616E74EA" w14:textId="77777777" w:rsidR="00FF31B8" w:rsidRPr="00166371" w:rsidRDefault="00A22D4E" w:rsidP="00FF31B8">
            <w:pPr>
              <w:snapToGrid w:val="0"/>
              <w:spacing w:beforeLines="50" w:before="156" w:afterLines="20" w:after="62" w:line="360" w:lineRule="auto"/>
              <w:rPr>
                <w:rFonts w:ascii="黑体" w:eastAsia="黑体" w:hAnsi="黑体"/>
                <w:sz w:val="28"/>
                <w:szCs w:val="28"/>
              </w:rPr>
            </w:pPr>
            <w:r w:rsidRPr="00A22D4E">
              <w:rPr>
                <w:rFonts w:ascii="黑体" w:eastAsia="黑体" w:hAnsi="黑体" w:cs="Times New Roman" w:hint="eastAsia"/>
                <w:sz w:val="28"/>
                <w:szCs w:val="28"/>
              </w:rPr>
              <w:t>教授</w:t>
            </w:r>
          </w:p>
        </w:tc>
      </w:tr>
      <w:tr w:rsidR="00FF31B8" w14:paraId="7A8E258E" w14:textId="77777777" w:rsidTr="00E70573">
        <w:trPr>
          <w:trHeight w:val="459"/>
        </w:trPr>
        <w:tc>
          <w:tcPr>
            <w:tcW w:w="8296" w:type="dxa"/>
            <w:gridSpan w:val="2"/>
          </w:tcPr>
          <w:p w14:paraId="3199F664" w14:textId="77777777" w:rsidR="00FF31B8" w:rsidRPr="00166371" w:rsidRDefault="00FF31B8" w:rsidP="00FF31B8">
            <w:pPr>
              <w:snapToGrid w:val="0"/>
              <w:spacing w:beforeLines="50" w:before="156" w:afterLines="20" w:after="62" w:line="360" w:lineRule="auto"/>
              <w:rPr>
                <w:rFonts w:ascii="黑体" w:eastAsia="黑体" w:hAnsi="黑体"/>
                <w:sz w:val="28"/>
                <w:szCs w:val="28"/>
              </w:rPr>
            </w:pPr>
            <w:r>
              <w:rPr>
                <w:rFonts w:ascii="黑体" w:eastAsia="黑体" w:hAnsi="黑体" w:hint="eastAsia"/>
                <w:sz w:val="28"/>
                <w:szCs w:val="28"/>
              </w:rPr>
              <w:t>单位：北京大学</w:t>
            </w:r>
            <w:r w:rsidRPr="00166371">
              <w:rPr>
                <w:rFonts w:ascii="黑体" w:eastAsia="黑体" w:hAnsi="黑体"/>
                <w:sz w:val="28"/>
                <w:szCs w:val="28"/>
              </w:rPr>
              <w:t xml:space="preserve"> </w:t>
            </w:r>
          </w:p>
        </w:tc>
      </w:tr>
    </w:tbl>
    <w:p w14:paraId="3A43A083" w14:textId="77777777" w:rsidR="00A22D4E" w:rsidRPr="00E17E4F" w:rsidRDefault="00A22D4E" w:rsidP="00E70573">
      <w:pPr>
        <w:spacing w:afterLines="50" w:after="156" w:line="360" w:lineRule="auto"/>
        <w:textAlignment w:val="baseline"/>
        <w:rPr>
          <w:rFonts w:ascii="Times New Roman" w:eastAsia="宋体" w:hAnsi="Times New Roman" w:cs="Times New Roman"/>
          <w:sz w:val="24"/>
          <w:szCs w:val="24"/>
        </w:rPr>
      </w:pPr>
      <w:r w:rsidRPr="00E17E4F">
        <w:rPr>
          <w:rFonts w:ascii="Times New Roman" w:eastAsia="宋体" w:hAnsi="Times New Roman" w:cs="Times New Roman" w:hint="eastAsia"/>
          <w:sz w:val="24"/>
          <w:szCs w:val="24"/>
        </w:rPr>
        <w:t>高宁的科学研究工作聚焦于核酸蛋白复合物分子机器（核糖体和</w:t>
      </w:r>
      <w:r w:rsidRPr="00E17E4F">
        <w:rPr>
          <w:rFonts w:ascii="Times New Roman" w:eastAsia="宋体" w:hAnsi="Times New Roman" w:cs="Times New Roman" w:hint="eastAsia"/>
          <w:sz w:val="24"/>
          <w:szCs w:val="24"/>
        </w:rPr>
        <w:t>DNA</w:t>
      </w:r>
      <w:r w:rsidRPr="00E17E4F">
        <w:rPr>
          <w:rFonts w:ascii="Times New Roman" w:eastAsia="宋体" w:hAnsi="Times New Roman" w:cs="Times New Roman" w:hint="eastAsia"/>
          <w:sz w:val="24"/>
          <w:szCs w:val="24"/>
        </w:rPr>
        <w:t>复制起始复合物）及大型膜蛋白复合物，以通讯作者身份在</w:t>
      </w:r>
      <w:r w:rsidRPr="00E17E4F">
        <w:rPr>
          <w:rFonts w:ascii="Times New Roman" w:eastAsia="宋体" w:hAnsi="Times New Roman" w:cs="Times New Roman" w:hint="eastAsia"/>
          <w:sz w:val="24"/>
          <w:szCs w:val="24"/>
        </w:rPr>
        <w:t>Nature</w:t>
      </w:r>
      <w:r w:rsidRPr="00E17E4F">
        <w:rPr>
          <w:rFonts w:ascii="Times New Roman" w:eastAsia="宋体" w:hAnsi="Times New Roman" w:cs="Times New Roman"/>
          <w:sz w:val="24"/>
          <w:szCs w:val="24"/>
        </w:rPr>
        <w:t xml:space="preserve"> </w:t>
      </w:r>
      <w:r w:rsidRPr="00E17E4F">
        <w:rPr>
          <w:rFonts w:ascii="Times New Roman" w:eastAsia="宋体" w:hAnsi="Times New Roman" w:cs="Times New Roman" w:hint="eastAsia"/>
          <w:sz w:val="24"/>
          <w:szCs w:val="24"/>
        </w:rPr>
        <w:t>（</w:t>
      </w:r>
      <w:r w:rsidRPr="00E17E4F">
        <w:rPr>
          <w:rFonts w:ascii="Times New Roman" w:eastAsia="宋体" w:hAnsi="Times New Roman" w:cs="Times New Roman" w:hint="eastAsia"/>
          <w:sz w:val="24"/>
          <w:szCs w:val="24"/>
        </w:rPr>
        <w:t>5</w:t>
      </w:r>
      <w:r w:rsidRPr="00E17E4F">
        <w:rPr>
          <w:rFonts w:ascii="Times New Roman" w:eastAsia="宋体" w:hAnsi="Times New Roman" w:cs="Times New Roman" w:hint="eastAsia"/>
          <w:sz w:val="24"/>
          <w:szCs w:val="24"/>
        </w:rPr>
        <w:t>篇）、</w:t>
      </w:r>
      <w:r w:rsidRPr="00E17E4F">
        <w:rPr>
          <w:rFonts w:ascii="Times New Roman" w:eastAsia="宋体" w:hAnsi="Times New Roman" w:cs="Times New Roman" w:hint="eastAsia"/>
          <w:sz w:val="24"/>
          <w:szCs w:val="24"/>
        </w:rPr>
        <w:t>Cell</w:t>
      </w:r>
      <w:r w:rsidRPr="00E17E4F">
        <w:rPr>
          <w:rFonts w:ascii="Times New Roman" w:eastAsia="宋体" w:hAnsi="Times New Roman" w:cs="Times New Roman" w:hint="eastAsia"/>
          <w:sz w:val="24"/>
          <w:szCs w:val="24"/>
        </w:rPr>
        <w:t>、</w:t>
      </w:r>
      <w:r w:rsidRPr="00E17E4F">
        <w:rPr>
          <w:rFonts w:ascii="Times New Roman" w:eastAsia="宋体" w:hAnsi="Times New Roman" w:cs="Times New Roman" w:hint="eastAsia"/>
          <w:sz w:val="24"/>
          <w:szCs w:val="24"/>
        </w:rPr>
        <w:t>Nature Structural &amp; Molecular Biology</w:t>
      </w:r>
      <w:r w:rsidRPr="00E17E4F">
        <w:rPr>
          <w:rFonts w:ascii="Times New Roman" w:eastAsia="宋体" w:hAnsi="Times New Roman" w:cs="Times New Roman" w:hint="eastAsia"/>
          <w:sz w:val="24"/>
          <w:szCs w:val="24"/>
        </w:rPr>
        <w:t>（</w:t>
      </w:r>
      <w:r w:rsidRPr="00E17E4F">
        <w:rPr>
          <w:rFonts w:ascii="Times New Roman" w:eastAsia="宋体" w:hAnsi="Times New Roman" w:cs="Times New Roman" w:hint="eastAsia"/>
          <w:sz w:val="24"/>
          <w:szCs w:val="24"/>
        </w:rPr>
        <w:t>5</w:t>
      </w:r>
      <w:r w:rsidRPr="00E17E4F">
        <w:rPr>
          <w:rFonts w:ascii="Times New Roman" w:eastAsia="宋体" w:hAnsi="Times New Roman" w:cs="Times New Roman" w:hint="eastAsia"/>
          <w:sz w:val="24"/>
          <w:szCs w:val="24"/>
        </w:rPr>
        <w:t>篇）、</w:t>
      </w:r>
      <w:r w:rsidRPr="00E17E4F">
        <w:rPr>
          <w:rFonts w:ascii="Times New Roman" w:eastAsia="宋体" w:hAnsi="Times New Roman" w:cs="Times New Roman" w:hint="eastAsia"/>
          <w:sz w:val="24"/>
          <w:szCs w:val="24"/>
        </w:rPr>
        <w:t>Molecular Cell</w:t>
      </w:r>
      <w:r w:rsidRPr="00E17E4F">
        <w:rPr>
          <w:rFonts w:ascii="Times New Roman" w:eastAsia="宋体" w:hAnsi="Times New Roman" w:cs="Times New Roman" w:hint="eastAsia"/>
          <w:sz w:val="24"/>
          <w:szCs w:val="24"/>
        </w:rPr>
        <w:t>、</w:t>
      </w:r>
      <w:r w:rsidRPr="00E17E4F">
        <w:rPr>
          <w:rFonts w:ascii="Times New Roman" w:eastAsia="宋体" w:hAnsi="Times New Roman" w:cs="Times New Roman" w:hint="eastAsia"/>
          <w:sz w:val="24"/>
          <w:szCs w:val="24"/>
        </w:rPr>
        <w:t>eLife</w:t>
      </w:r>
      <w:r w:rsidRPr="00E17E4F">
        <w:rPr>
          <w:rFonts w:ascii="Times New Roman" w:eastAsia="宋体" w:hAnsi="Times New Roman" w:cs="Times New Roman" w:hint="eastAsia"/>
          <w:sz w:val="24"/>
          <w:szCs w:val="24"/>
        </w:rPr>
        <w:t>、</w:t>
      </w:r>
      <w:r w:rsidRPr="00E17E4F">
        <w:rPr>
          <w:rFonts w:ascii="Times New Roman" w:eastAsia="宋体" w:hAnsi="Times New Roman" w:cs="Times New Roman" w:hint="eastAsia"/>
          <w:sz w:val="24"/>
          <w:szCs w:val="24"/>
        </w:rPr>
        <w:t>PLOS</w:t>
      </w:r>
      <w:r w:rsidRPr="00E17E4F">
        <w:rPr>
          <w:rFonts w:ascii="Times New Roman" w:eastAsia="宋体" w:hAnsi="Times New Roman" w:cs="Times New Roman"/>
          <w:sz w:val="24"/>
          <w:szCs w:val="24"/>
        </w:rPr>
        <w:t xml:space="preserve"> </w:t>
      </w:r>
      <w:r w:rsidRPr="00E17E4F">
        <w:rPr>
          <w:rFonts w:ascii="Times New Roman" w:eastAsia="宋体" w:hAnsi="Times New Roman" w:cs="Times New Roman" w:hint="eastAsia"/>
          <w:sz w:val="24"/>
          <w:szCs w:val="24"/>
        </w:rPr>
        <w:t>Biology</w:t>
      </w:r>
      <w:r w:rsidRPr="00E17E4F">
        <w:rPr>
          <w:rFonts w:ascii="Times New Roman" w:eastAsia="宋体" w:hAnsi="Times New Roman" w:cs="Times New Roman" w:hint="eastAsia"/>
          <w:sz w:val="24"/>
          <w:szCs w:val="24"/>
        </w:rPr>
        <w:t>、</w:t>
      </w:r>
      <w:r w:rsidRPr="00E17E4F">
        <w:rPr>
          <w:rFonts w:ascii="Times New Roman" w:eastAsia="宋体" w:hAnsi="Times New Roman" w:cs="Times New Roman" w:hint="eastAsia"/>
          <w:sz w:val="24"/>
          <w:szCs w:val="24"/>
        </w:rPr>
        <w:t>Nucleic</w:t>
      </w:r>
      <w:r w:rsidRPr="00E17E4F">
        <w:rPr>
          <w:rFonts w:ascii="Times New Roman" w:eastAsia="宋体" w:hAnsi="Times New Roman" w:cs="Times New Roman"/>
          <w:sz w:val="24"/>
          <w:szCs w:val="24"/>
        </w:rPr>
        <w:t xml:space="preserve"> </w:t>
      </w:r>
      <w:r w:rsidRPr="00E17E4F">
        <w:rPr>
          <w:rFonts w:ascii="Times New Roman" w:eastAsia="宋体" w:hAnsi="Times New Roman" w:cs="Times New Roman" w:hint="eastAsia"/>
          <w:sz w:val="24"/>
          <w:szCs w:val="24"/>
        </w:rPr>
        <w:t>Acids</w:t>
      </w:r>
      <w:r w:rsidRPr="00E17E4F">
        <w:rPr>
          <w:rFonts w:ascii="Times New Roman" w:eastAsia="宋体" w:hAnsi="Times New Roman" w:cs="Times New Roman"/>
          <w:sz w:val="24"/>
          <w:szCs w:val="24"/>
        </w:rPr>
        <w:t xml:space="preserve"> </w:t>
      </w:r>
      <w:r w:rsidRPr="00E17E4F">
        <w:rPr>
          <w:rFonts w:ascii="Times New Roman" w:eastAsia="宋体" w:hAnsi="Times New Roman" w:cs="Times New Roman" w:hint="eastAsia"/>
          <w:sz w:val="24"/>
          <w:szCs w:val="24"/>
        </w:rPr>
        <w:t>Research</w:t>
      </w:r>
      <w:r w:rsidRPr="00E17E4F">
        <w:rPr>
          <w:rFonts w:ascii="Times New Roman" w:eastAsia="宋体" w:hAnsi="Times New Roman" w:cs="Times New Roman" w:hint="eastAsia"/>
          <w:sz w:val="24"/>
          <w:szCs w:val="24"/>
        </w:rPr>
        <w:t>（</w:t>
      </w:r>
      <w:r w:rsidRPr="00E17E4F">
        <w:rPr>
          <w:rFonts w:ascii="Times New Roman" w:eastAsia="宋体" w:hAnsi="Times New Roman" w:cs="Times New Roman" w:hint="eastAsia"/>
          <w:sz w:val="24"/>
          <w:szCs w:val="24"/>
        </w:rPr>
        <w:t>4</w:t>
      </w:r>
      <w:r w:rsidRPr="00E17E4F">
        <w:rPr>
          <w:rFonts w:ascii="Times New Roman" w:eastAsia="宋体" w:hAnsi="Times New Roman" w:cs="Times New Roman" w:hint="eastAsia"/>
          <w:sz w:val="24"/>
          <w:szCs w:val="24"/>
        </w:rPr>
        <w:t>篇）等杂志发表论文</w:t>
      </w:r>
      <w:r w:rsidRPr="00E17E4F">
        <w:rPr>
          <w:rFonts w:ascii="Times New Roman" w:eastAsia="宋体" w:hAnsi="Times New Roman" w:cs="Times New Roman" w:hint="eastAsia"/>
          <w:sz w:val="24"/>
          <w:szCs w:val="24"/>
        </w:rPr>
        <w:t>28</w:t>
      </w:r>
      <w:r w:rsidRPr="00E17E4F">
        <w:rPr>
          <w:rFonts w:ascii="Times New Roman" w:eastAsia="宋体" w:hAnsi="Times New Roman" w:cs="Times New Roman" w:hint="eastAsia"/>
          <w:sz w:val="24"/>
          <w:szCs w:val="24"/>
        </w:rPr>
        <w:t>篇。</w:t>
      </w:r>
      <w:r w:rsidRPr="00E17E4F">
        <w:rPr>
          <w:rFonts w:ascii="Times New Roman" w:eastAsia="宋体" w:hAnsi="Times New Roman" w:cs="Times New Roman"/>
          <w:sz w:val="24"/>
          <w:szCs w:val="24"/>
        </w:rPr>
        <w:t>这些工作极大的推动了相关领域的科研发展</w:t>
      </w:r>
      <w:r w:rsidRPr="00E17E4F">
        <w:rPr>
          <w:rFonts w:ascii="Times New Roman" w:eastAsia="宋体" w:hAnsi="Times New Roman" w:cs="Times New Roman" w:hint="eastAsia"/>
          <w:sz w:val="24"/>
          <w:szCs w:val="24"/>
        </w:rPr>
        <w:t>，代表性学术成果简述如下：</w:t>
      </w:r>
    </w:p>
    <w:p w14:paraId="4F719908" w14:textId="77777777" w:rsidR="00A22D4E" w:rsidRPr="00E17E4F" w:rsidRDefault="00A22D4E" w:rsidP="00E70573">
      <w:pPr>
        <w:spacing w:afterLines="50" w:after="156" w:line="360" w:lineRule="auto"/>
        <w:jc w:val="left"/>
        <w:textAlignment w:val="baseline"/>
        <w:rPr>
          <w:rFonts w:ascii="Times New Roman" w:eastAsia="宋体" w:hAnsi="Times New Roman" w:cs="Times New Roman"/>
          <w:sz w:val="24"/>
          <w:szCs w:val="24"/>
        </w:rPr>
      </w:pPr>
      <w:r w:rsidRPr="00E17E4F">
        <w:rPr>
          <w:rFonts w:ascii="Times New Roman" w:eastAsia="宋体" w:hAnsi="Times New Roman" w:cs="Times New Roman" w:hint="eastAsia"/>
          <w:sz w:val="24"/>
          <w:szCs w:val="24"/>
        </w:rPr>
        <w:t>1.</w:t>
      </w:r>
      <w:r w:rsidRPr="00E17E4F">
        <w:rPr>
          <w:rFonts w:ascii="Times New Roman" w:eastAsia="宋体" w:hAnsi="Times New Roman" w:cs="Times New Roman"/>
          <w:sz w:val="24"/>
          <w:szCs w:val="24"/>
        </w:rPr>
        <w:t xml:space="preserve"> </w:t>
      </w:r>
      <w:r w:rsidRPr="00E17E4F">
        <w:rPr>
          <w:rFonts w:ascii="Times New Roman" w:eastAsia="宋体" w:hAnsi="Times New Roman" w:cs="Times New Roman" w:hint="eastAsia"/>
          <w:sz w:val="24"/>
          <w:szCs w:val="24"/>
        </w:rPr>
        <w:t>核糖体组装</w:t>
      </w:r>
      <w:r w:rsidRPr="00E17E4F">
        <w:rPr>
          <w:rFonts w:ascii="Times New Roman" w:eastAsia="宋体" w:hAnsi="Times New Roman" w:cs="Times New Roman" w:hint="eastAsia"/>
          <w:sz w:val="24"/>
          <w:szCs w:val="24"/>
        </w:rPr>
        <w:t xml:space="preserve"> (</w:t>
      </w:r>
      <w:r w:rsidRPr="00E17E4F">
        <w:rPr>
          <w:rFonts w:ascii="Times New Roman" w:eastAsia="宋体" w:hAnsi="Times New Roman" w:cs="Times New Roman"/>
          <w:sz w:val="24"/>
          <w:szCs w:val="24"/>
        </w:rPr>
        <w:t>Nucleic Acids Res, 2013a, 2013b, 2014; PLOS Biol, 2014; Protein &amp; Cell, 2014</w:t>
      </w:r>
      <w:r w:rsidRPr="00E17E4F">
        <w:rPr>
          <w:rFonts w:ascii="Times New Roman" w:eastAsia="宋体" w:hAnsi="Times New Roman" w:cs="Times New Roman" w:hint="eastAsia"/>
          <w:sz w:val="24"/>
          <w:szCs w:val="24"/>
        </w:rPr>
        <w:t>，</w:t>
      </w:r>
      <w:r w:rsidRPr="00E17E4F">
        <w:rPr>
          <w:rFonts w:ascii="Times New Roman" w:eastAsia="宋体" w:hAnsi="Times New Roman" w:cs="Times New Roman" w:hint="eastAsia"/>
          <w:sz w:val="24"/>
          <w:szCs w:val="24"/>
        </w:rPr>
        <w:t>2016</w:t>
      </w:r>
      <w:r w:rsidRPr="00E17E4F">
        <w:rPr>
          <w:rFonts w:ascii="Times New Roman" w:eastAsia="宋体" w:hAnsi="Times New Roman" w:cs="Times New Roman"/>
          <w:sz w:val="24"/>
          <w:szCs w:val="24"/>
        </w:rPr>
        <w:t xml:space="preserve">; </w:t>
      </w:r>
      <w:r w:rsidRPr="00E17E4F">
        <w:rPr>
          <w:rFonts w:ascii="Times New Roman" w:eastAsia="宋体" w:hAnsi="Times New Roman" w:cs="Times New Roman" w:hint="eastAsia"/>
          <w:sz w:val="24"/>
          <w:szCs w:val="24"/>
        </w:rPr>
        <w:t>Na</w:t>
      </w:r>
      <w:r w:rsidRPr="00E17E4F">
        <w:rPr>
          <w:rFonts w:ascii="Times New Roman" w:eastAsia="宋体" w:hAnsi="Times New Roman" w:cs="Times New Roman"/>
          <w:sz w:val="24"/>
          <w:szCs w:val="24"/>
        </w:rPr>
        <w:t>ture, 2016a; Protein Sci, 2017; NSMB, 2017a</w:t>
      </w:r>
      <w:r w:rsidRPr="00E17E4F">
        <w:rPr>
          <w:rFonts w:ascii="Times New Roman" w:eastAsia="宋体" w:hAnsi="Times New Roman" w:cs="Times New Roman" w:hint="eastAsia"/>
          <w:sz w:val="24"/>
          <w:szCs w:val="24"/>
        </w:rPr>
        <w:t>）</w:t>
      </w:r>
    </w:p>
    <w:p w14:paraId="5408A0C5" w14:textId="77777777" w:rsidR="00A22D4E" w:rsidRPr="00E17E4F" w:rsidRDefault="00A22D4E" w:rsidP="00E70573">
      <w:pPr>
        <w:spacing w:afterLines="50" w:after="156" w:line="360" w:lineRule="auto"/>
        <w:jc w:val="left"/>
        <w:textAlignment w:val="baseline"/>
        <w:rPr>
          <w:rFonts w:ascii="Times New Roman" w:eastAsia="宋体" w:hAnsi="Times New Roman" w:cs="Times New Roman"/>
          <w:sz w:val="24"/>
          <w:szCs w:val="24"/>
        </w:rPr>
      </w:pPr>
      <w:r w:rsidRPr="00E17E4F">
        <w:rPr>
          <w:rFonts w:ascii="Times New Roman" w:eastAsia="宋体" w:hAnsi="Times New Roman" w:cs="Times New Roman" w:hint="eastAsia"/>
          <w:sz w:val="24"/>
          <w:szCs w:val="24"/>
        </w:rPr>
        <w:t>2</w:t>
      </w:r>
      <w:r w:rsidRPr="00E17E4F">
        <w:rPr>
          <w:rFonts w:ascii="Times New Roman" w:eastAsia="宋体" w:hAnsi="Times New Roman" w:cs="Times New Roman"/>
          <w:sz w:val="24"/>
          <w:szCs w:val="24"/>
        </w:rPr>
        <w:t xml:space="preserve">. </w:t>
      </w:r>
      <w:r w:rsidRPr="00E17E4F">
        <w:rPr>
          <w:rFonts w:ascii="Times New Roman" w:eastAsia="宋体" w:hAnsi="Times New Roman" w:cs="Times New Roman" w:hint="eastAsia"/>
          <w:sz w:val="24"/>
          <w:szCs w:val="24"/>
        </w:rPr>
        <w:t>原核和真核蛋白翻译</w:t>
      </w:r>
      <w:r w:rsidRPr="00E17E4F">
        <w:rPr>
          <w:rFonts w:ascii="Times New Roman" w:eastAsia="宋体" w:hAnsi="Times New Roman" w:cs="Times New Roman"/>
          <w:sz w:val="24"/>
          <w:szCs w:val="24"/>
        </w:rPr>
        <w:t>调控（</w:t>
      </w:r>
      <w:r w:rsidRPr="00E17E4F">
        <w:rPr>
          <w:rFonts w:ascii="Times New Roman" w:eastAsia="宋体" w:hAnsi="Times New Roman" w:cs="Times New Roman" w:hint="eastAsia"/>
          <w:sz w:val="24"/>
          <w:szCs w:val="24"/>
        </w:rPr>
        <w:t>NSM</w:t>
      </w:r>
      <w:r w:rsidRPr="00E17E4F">
        <w:rPr>
          <w:rFonts w:ascii="Times New Roman" w:eastAsia="宋体" w:hAnsi="Times New Roman" w:cs="Times New Roman"/>
          <w:sz w:val="24"/>
          <w:szCs w:val="24"/>
        </w:rPr>
        <w:t>B, 2014, 2015, 2016; eLife, 2015; Nucleic Acids Res, 2015; Nature, 2017</w:t>
      </w:r>
      <w:r w:rsidRPr="00E17E4F">
        <w:rPr>
          <w:rFonts w:ascii="Times New Roman" w:eastAsia="宋体" w:hAnsi="Times New Roman" w:cs="Times New Roman"/>
          <w:sz w:val="24"/>
          <w:szCs w:val="24"/>
        </w:rPr>
        <w:t>）</w:t>
      </w:r>
    </w:p>
    <w:p w14:paraId="6A0C8FBD" w14:textId="77777777" w:rsidR="00D33D98" w:rsidRPr="00E17E4F" w:rsidRDefault="00D33D98" w:rsidP="00E70573">
      <w:pPr>
        <w:spacing w:afterLines="50" w:after="156" w:line="360" w:lineRule="auto"/>
        <w:jc w:val="left"/>
        <w:textAlignment w:val="baseline"/>
        <w:rPr>
          <w:rFonts w:ascii="Times New Roman" w:eastAsia="宋体" w:hAnsi="Times New Roman" w:cs="Times New Roman"/>
          <w:sz w:val="24"/>
          <w:szCs w:val="24"/>
        </w:rPr>
      </w:pPr>
      <w:r w:rsidRPr="00E17E4F">
        <w:rPr>
          <w:rFonts w:ascii="Times New Roman" w:eastAsia="宋体" w:hAnsi="Times New Roman" w:cs="Times New Roman"/>
          <w:sz w:val="24"/>
          <w:szCs w:val="24"/>
        </w:rPr>
        <w:t xml:space="preserve">3. </w:t>
      </w:r>
      <w:r w:rsidRPr="00E17E4F">
        <w:rPr>
          <w:rFonts w:ascii="Times New Roman" w:eastAsia="宋体" w:hAnsi="Times New Roman" w:cs="Times New Roman"/>
          <w:sz w:val="24"/>
          <w:szCs w:val="24"/>
        </w:rPr>
        <w:t>真核生物</w:t>
      </w:r>
      <w:r w:rsidRPr="00E17E4F">
        <w:rPr>
          <w:rFonts w:ascii="Times New Roman" w:eastAsia="宋体" w:hAnsi="Times New Roman" w:cs="Times New Roman"/>
          <w:sz w:val="24"/>
          <w:szCs w:val="24"/>
        </w:rPr>
        <w:t>DNA</w:t>
      </w:r>
      <w:r w:rsidRPr="00E17E4F">
        <w:rPr>
          <w:rFonts w:ascii="Times New Roman" w:eastAsia="宋体" w:hAnsi="Times New Roman" w:cs="Times New Roman"/>
          <w:sz w:val="24"/>
          <w:szCs w:val="24"/>
        </w:rPr>
        <w:t>复制起始过程（</w:t>
      </w:r>
      <w:r w:rsidRPr="00E17E4F">
        <w:rPr>
          <w:rFonts w:ascii="Times New Roman" w:eastAsia="宋体" w:hAnsi="Times New Roman" w:cs="Times New Roman"/>
          <w:sz w:val="24"/>
          <w:szCs w:val="24"/>
        </w:rPr>
        <w:t>Nature, 2015</w:t>
      </w:r>
      <w:r w:rsidRPr="00E17E4F">
        <w:rPr>
          <w:rFonts w:ascii="Times New Roman" w:eastAsia="宋体" w:hAnsi="Times New Roman" w:cs="Times New Roman" w:hint="eastAsia"/>
          <w:sz w:val="24"/>
          <w:szCs w:val="24"/>
        </w:rPr>
        <w:t>a</w:t>
      </w:r>
      <w:r w:rsidRPr="00E17E4F">
        <w:rPr>
          <w:rFonts w:ascii="Times New Roman" w:eastAsia="宋体" w:hAnsi="Times New Roman" w:cs="Times New Roman"/>
          <w:sz w:val="24"/>
          <w:szCs w:val="24"/>
        </w:rPr>
        <w:t>; NSMB, 2017b</w:t>
      </w:r>
      <w:r w:rsidRPr="00E17E4F">
        <w:rPr>
          <w:rFonts w:ascii="Times New Roman" w:eastAsia="宋体" w:hAnsi="Times New Roman" w:cs="Times New Roman" w:hint="eastAsia"/>
          <w:sz w:val="24"/>
          <w:szCs w:val="24"/>
        </w:rPr>
        <w:t>；</w:t>
      </w:r>
      <w:r w:rsidRPr="00E17E4F">
        <w:rPr>
          <w:rFonts w:ascii="Times New Roman" w:eastAsia="宋体" w:hAnsi="Times New Roman" w:cs="Times New Roman" w:hint="eastAsia"/>
          <w:sz w:val="24"/>
          <w:szCs w:val="24"/>
        </w:rPr>
        <w:t>Mol Cell, 2017</w:t>
      </w:r>
      <w:r w:rsidRPr="00E17E4F">
        <w:rPr>
          <w:rFonts w:ascii="Times New Roman" w:eastAsia="宋体" w:hAnsi="Times New Roman" w:cs="Times New Roman"/>
          <w:sz w:val="24"/>
          <w:szCs w:val="24"/>
        </w:rPr>
        <w:t>）</w:t>
      </w:r>
    </w:p>
    <w:p w14:paraId="7EF32E42" w14:textId="77777777" w:rsidR="00D33D98" w:rsidRPr="00E17E4F" w:rsidRDefault="00D33D98" w:rsidP="00E70573">
      <w:pPr>
        <w:spacing w:afterLines="50" w:after="156" w:line="360" w:lineRule="auto"/>
        <w:jc w:val="left"/>
        <w:textAlignment w:val="baseline"/>
        <w:rPr>
          <w:rFonts w:ascii="Times New Roman" w:eastAsia="宋体" w:hAnsi="Times New Roman" w:cs="Times New Roman"/>
          <w:sz w:val="24"/>
          <w:szCs w:val="24"/>
        </w:rPr>
      </w:pPr>
      <w:r w:rsidRPr="00E17E4F">
        <w:rPr>
          <w:rFonts w:ascii="Times New Roman" w:eastAsia="宋体" w:hAnsi="Times New Roman" w:cs="Times New Roman"/>
          <w:sz w:val="24"/>
          <w:szCs w:val="24"/>
        </w:rPr>
        <w:t xml:space="preserve">4. </w:t>
      </w:r>
      <w:r w:rsidRPr="00E17E4F">
        <w:rPr>
          <w:rFonts w:ascii="Times New Roman" w:eastAsia="宋体" w:hAnsi="Times New Roman" w:cs="Times New Roman"/>
          <w:sz w:val="24"/>
          <w:szCs w:val="24"/>
        </w:rPr>
        <w:t>大型膜蛋白复合物的冷冻电镜结构解析（</w:t>
      </w:r>
      <w:r w:rsidRPr="00E17E4F">
        <w:rPr>
          <w:rFonts w:ascii="Times New Roman" w:eastAsia="宋体" w:hAnsi="Times New Roman" w:cs="Times New Roman" w:hint="eastAsia"/>
          <w:sz w:val="24"/>
          <w:szCs w:val="24"/>
        </w:rPr>
        <w:t>Na</w:t>
      </w:r>
      <w:r w:rsidRPr="00E17E4F">
        <w:rPr>
          <w:rFonts w:ascii="Times New Roman" w:eastAsia="宋体" w:hAnsi="Times New Roman" w:cs="Times New Roman"/>
          <w:sz w:val="24"/>
          <w:szCs w:val="24"/>
        </w:rPr>
        <w:t>ture, 2015b, 2016b; Cell, 2017</w:t>
      </w:r>
      <w:r w:rsidRPr="00E17E4F">
        <w:rPr>
          <w:rFonts w:ascii="Times New Roman" w:eastAsia="宋体" w:hAnsi="Times New Roman" w:cs="Times New Roman"/>
          <w:sz w:val="24"/>
          <w:szCs w:val="24"/>
        </w:rPr>
        <w:t>）</w:t>
      </w:r>
    </w:p>
    <w:p w14:paraId="4E89ABC8" w14:textId="77777777" w:rsidR="00D33D98" w:rsidRDefault="00D33D98" w:rsidP="00FF31B8">
      <w:pPr>
        <w:widowControl/>
        <w:spacing w:before="100" w:beforeAutospacing="1" w:after="100" w:afterAutospacing="1" w:line="360" w:lineRule="auto"/>
        <w:ind w:right="840"/>
        <w:rPr>
          <w:rFonts w:ascii="宋体" w:eastAsia="宋体" w:hAnsi="宋体" w:cs="宋体"/>
          <w:color w:val="000000"/>
          <w:kern w:val="0"/>
          <w:szCs w:val="21"/>
        </w:rPr>
      </w:pPr>
    </w:p>
    <w:p w14:paraId="5E5325DB" w14:textId="77777777" w:rsidR="00E70573" w:rsidRDefault="00E70573" w:rsidP="00FF31B8">
      <w:pPr>
        <w:widowControl/>
        <w:spacing w:before="100" w:beforeAutospacing="1" w:after="100" w:afterAutospacing="1" w:line="360" w:lineRule="auto"/>
        <w:ind w:right="840"/>
        <w:rPr>
          <w:rFonts w:ascii="宋体" w:eastAsia="宋体" w:hAnsi="宋体" w:cs="宋体" w:hint="eastAsia"/>
          <w:color w:val="000000"/>
          <w:kern w:val="0"/>
          <w:szCs w:val="21"/>
        </w:rPr>
      </w:pPr>
      <w:bookmarkStart w:id="0" w:name="_GoBack"/>
      <w:bookmarkEnd w:id="0"/>
    </w:p>
    <w:p w14:paraId="128FEB48" w14:textId="77777777" w:rsidR="00D33D98" w:rsidRDefault="00D33D98" w:rsidP="00FF31B8">
      <w:pPr>
        <w:widowControl/>
        <w:spacing w:before="100" w:beforeAutospacing="1" w:after="100" w:afterAutospacing="1" w:line="360" w:lineRule="auto"/>
        <w:ind w:right="840"/>
        <w:rPr>
          <w:rFonts w:ascii="宋体" w:eastAsia="宋体" w:hAnsi="宋体" w:cs="宋体"/>
          <w:color w:val="000000"/>
          <w:kern w:val="0"/>
          <w:szCs w:val="21"/>
        </w:rPr>
      </w:pPr>
    </w:p>
    <w:p w14:paraId="3641D18B" w14:textId="77777777" w:rsidR="00D33D98" w:rsidRDefault="00D33D98" w:rsidP="00FF31B8">
      <w:pPr>
        <w:widowControl/>
        <w:spacing w:before="100" w:beforeAutospacing="1" w:after="100" w:afterAutospacing="1" w:line="360" w:lineRule="auto"/>
        <w:ind w:right="840"/>
        <w:rPr>
          <w:rFonts w:ascii="宋体" w:eastAsia="宋体" w:hAnsi="宋体" w:cs="宋体"/>
          <w:color w:val="000000"/>
          <w:kern w:val="0"/>
          <w:szCs w:val="21"/>
        </w:rPr>
      </w:pPr>
    </w:p>
    <w:p w14:paraId="161097AB" w14:textId="77777777" w:rsidR="00D33D98" w:rsidRDefault="00D33D98" w:rsidP="00FF31B8">
      <w:pPr>
        <w:widowControl/>
        <w:spacing w:before="100" w:beforeAutospacing="1" w:after="100" w:afterAutospacing="1" w:line="360" w:lineRule="auto"/>
        <w:ind w:right="840"/>
        <w:rPr>
          <w:rFonts w:ascii="宋体" w:eastAsia="宋体" w:hAnsi="宋体" w:cs="宋体"/>
          <w:color w:val="000000"/>
          <w:kern w:val="0"/>
          <w:szCs w:val="21"/>
        </w:rPr>
      </w:pPr>
    </w:p>
    <w:p w14:paraId="15972A41" w14:textId="77777777" w:rsidR="00D33D98" w:rsidRPr="00D33D98" w:rsidRDefault="00D33D98" w:rsidP="00FF31B8">
      <w:pPr>
        <w:widowControl/>
        <w:spacing w:before="100" w:beforeAutospacing="1" w:after="100" w:afterAutospacing="1" w:line="360" w:lineRule="auto"/>
        <w:ind w:right="840"/>
        <w:rPr>
          <w:rFonts w:ascii="宋体" w:eastAsia="宋体" w:hAnsi="宋体" w:cs="宋体"/>
          <w:color w:val="000000"/>
          <w:kern w:val="0"/>
          <w:szCs w:val="21"/>
        </w:rPr>
      </w:pPr>
    </w:p>
    <w:p w14:paraId="633CBCC1" w14:textId="77777777" w:rsidR="00FF31B8" w:rsidRDefault="00FF31B8" w:rsidP="00FF31B8">
      <w:pPr>
        <w:widowControl/>
        <w:spacing w:before="100" w:beforeAutospacing="1" w:after="100" w:afterAutospacing="1" w:line="600" w:lineRule="atLeast"/>
        <w:ind w:right="840"/>
        <w:rPr>
          <w:rFonts w:ascii="宋体" w:eastAsia="宋体" w:hAnsi="宋体" w:cs="宋体"/>
          <w:color w:val="000000"/>
          <w:kern w:val="0"/>
          <w:szCs w:val="21"/>
        </w:rPr>
      </w:pPr>
    </w:p>
    <w:p w14:paraId="2C221A59" w14:textId="77777777" w:rsidR="00FF31B8" w:rsidRPr="0037170E" w:rsidRDefault="00FF31B8" w:rsidP="00FF31B8">
      <w:pPr>
        <w:widowControl/>
        <w:spacing w:before="100" w:beforeAutospacing="1" w:after="100" w:afterAutospacing="1" w:line="600" w:lineRule="atLeast"/>
        <w:ind w:right="840"/>
        <w:rPr>
          <w:rFonts w:ascii="宋体" w:eastAsia="宋体" w:hAnsi="宋体" w:cs="宋体"/>
          <w:color w:val="000000"/>
          <w:kern w:val="0"/>
          <w:szCs w:val="21"/>
        </w:rPr>
      </w:pPr>
    </w:p>
    <w:tbl>
      <w:tblPr>
        <w:tblStyle w:val="a7"/>
        <w:tblW w:w="0" w:type="auto"/>
        <w:tblLook w:val="04A0" w:firstRow="1" w:lastRow="0" w:firstColumn="1" w:lastColumn="0" w:noHBand="0" w:noVBand="1"/>
      </w:tblPr>
      <w:tblGrid>
        <w:gridCol w:w="1754"/>
        <w:gridCol w:w="6542"/>
      </w:tblGrid>
      <w:tr w:rsidR="00E70573" w14:paraId="7E5D4C12" w14:textId="77777777" w:rsidTr="00E70573">
        <w:tc>
          <w:tcPr>
            <w:tcW w:w="1754" w:type="dxa"/>
          </w:tcPr>
          <w:p w14:paraId="335980D4" w14:textId="77777777" w:rsidR="00FF31B8" w:rsidRPr="00166371" w:rsidRDefault="00A22D4E" w:rsidP="00403412">
            <w:pPr>
              <w:rPr>
                <w:rFonts w:ascii="黑体" w:eastAsia="黑体" w:hAnsi="黑体"/>
                <w:sz w:val="28"/>
                <w:szCs w:val="28"/>
              </w:rPr>
            </w:pPr>
            <w:r>
              <w:rPr>
                <w:rFonts w:ascii="黑体" w:eastAsia="黑体" w:hAnsi="黑体" w:hint="eastAsia"/>
                <w:sz w:val="28"/>
                <w:szCs w:val="28"/>
              </w:rPr>
              <w:t>刘光慧</w:t>
            </w:r>
          </w:p>
        </w:tc>
        <w:tc>
          <w:tcPr>
            <w:tcW w:w="6542" w:type="dxa"/>
          </w:tcPr>
          <w:p w14:paraId="0BB01D36" w14:textId="77777777" w:rsidR="00FF31B8" w:rsidRPr="00166371" w:rsidRDefault="00A22D4E" w:rsidP="00403412">
            <w:pPr>
              <w:rPr>
                <w:rFonts w:ascii="黑体" w:eastAsia="黑体" w:hAnsi="黑体"/>
                <w:sz w:val="28"/>
                <w:szCs w:val="28"/>
              </w:rPr>
            </w:pPr>
            <w:r>
              <w:rPr>
                <w:rFonts w:ascii="黑体" w:eastAsia="黑体" w:hAnsi="黑体" w:hint="eastAsia"/>
                <w:sz w:val="28"/>
                <w:szCs w:val="28"/>
              </w:rPr>
              <w:t>研究员</w:t>
            </w:r>
          </w:p>
        </w:tc>
      </w:tr>
      <w:tr w:rsidR="00FF31B8" w14:paraId="12AB097F" w14:textId="77777777" w:rsidTr="00E70573">
        <w:trPr>
          <w:trHeight w:val="378"/>
        </w:trPr>
        <w:tc>
          <w:tcPr>
            <w:tcW w:w="8296" w:type="dxa"/>
            <w:gridSpan w:val="2"/>
          </w:tcPr>
          <w:p w14:paraId="5C3C5C3A" w14:textId="77777777" w:rsidR="00FF31B8" w:rsidRPr="00166371" w:rsidRDefault="00FF31B8" w:rsidP="00403412">
            <w:pPr>
              <w:rPr>
                <w:rFonts w:ascii="黑体" w:eastAsia="黑体" w:hAnsi="黑体"/>
                <w:sz w:val="28"/>
                <w:szCs w:val="28"/>
              </w:rPr>
            </w:pPr>
            <w:r>
              <w:rPr>
                <w:rFonts w:ascii="黑体" w:eastAsia="黑体" w:hAnsi="黑体" w:hint="eastAsia"/>
                <w:sz w:val="28"/>
                <w:szCs w:val="28"/>
              </w:rPr>
              <w:t>单位：</w:t>
            </w:r>
            <w:r w:rsidR="00A22D4E">
              <w:rPr>
                <w:rFonts w:ascii="黑体" w:eastAsia="黑体" w:hAnsi="黑体" w:hint="eastAsia"/>
                <w:sz w:val="28"/>
                <w:szCs w:val="28"/>
              </w:rPr>
              <w:t>中国科学院生物物理研究所</w:t>
            </w:r>
          </w:p>
        </w:tc>
      </w:tr>
    </w:tbl>
    <w:p w14:paraId="4697FA3E" w14:textId="77777777" w:rsidR="00E17E4F" w:rsidRDefault="00E17E4F" w:rsidP="00E70573">
      <w:pPr>
        <w:pStyle w:val="a8"/>
        <w:rPr>
          <w:spacing w:val="2"/>
          <w:sz w:val="21"/>
          <w:lang w:val="en-US"/>
        </w:rPr>
      </w:pPr>
      <w:r>
        <w:rPr>
          <w:rFonts w:ascii="Times New Roman" w:hint="eastAsia"/>
          <w:lang w:val="en-US"/>
        </w:rPr>
        <w:t>刘光慧</w:t>
      </w:r>
      <w:r w:rsidRPr="00C5244E">
        <w:rPr>
          <w:rFonts w:ascii="Times New Roman" w:hint="eastAsia"/>
          <w:lang w:val="en-US"/>
        </w:rPr>
        <w:t>近年来在人类衰老和再生医学领域取得了系列原创性研究成果，回国后在</w:t>
      </w:r>
      <w:r w:rsidRPr="00C5244E">
        <w:rPr>
          <w:rFonts w:ascii="Times New Roman" w:hint="eastAsia"/>
          <w:lang w:val="en-US"/>
        </w:rPr>
        <w:t>Nature</w:t>
      </w:r>
      <w:r w:rsidRPr="00C5244E">
        <w:rPr>
          <w:rFonts w:ascii="Times New Roman" w:hint="eastAsia"/>
          <w:lang w:val="en-US"/>
        </w:rPr>
        <w:t>，</w:t>
      </w:r>
      <w:r w:rsidRPr="00C5244E">
        <w:rPr>
          <w:rFonts w:ascii="Times New Roman" w:hint="eastAsia"/>
          <w:lang w:val="en-US"/>
        </w:rPr>
        <w:t>Science</w:t>
      </w:r>
      <w:r w:rsidRPr="00C5244E">
        <w:rPr>
          <w:rFonts w:ascii="Times New Roman" w:hint="eastAsia"/>
          <w:lang w:val="en-US"/>
        </w:rPr>
        <w:t>，</w:t>
      </w:r>
      <w:r w:rsidRPr="00C5244E">
        <w:rPr>
          <w:rFonts w:ascii="Times New Roman" w:hint="eastAsia"/>
          <w:lang w:val="en-US"/>
        </w:rPr>
        <w:t>Cell</w:t>
      </w:r>
      <w:r w:rsidRPr="00C5244E">
        <w:rPr>
          <w:rFonts w:ascii="Times New Roman" w:hint="eastAsia"/>
          <w:lang w:val="en-US"/>
        </w:rPr>
        <w:t>等刊物发表通讯作者文章数十篇。发表论文影响因子总和逾</w:t>
      </w:r>
      <w:r w:rsidRPr="00C5244E">
        <w:rPr>
          <w:rFonts w:ascii="Times New Roman" w:hint="eastAsia"/>
          <w:lang w:val="en-US"/>
        </w:rPr>
        <w:t>950</w:t>
      </w:r>
      <w:r>
        <w:rPr>
          <w:rFonts w:ascii="Times New Roman" w:hint="eastAsia"/>
          <w:lang w:val="en-US"/>
        </w:rPr>
        <w:t>（单篇逾</w:t>
      </w:r>
      <w:r>
        <w:rPr>
          <w:rFonts w:ascii="Times New Roman" w:hint="eastAsia"/>
          <w:lang w:val="en-US"/>
        </w:rPr>
        <w:t>10</w:t>
      </w:r>
      <w:r>
        <w:rPr>
          <w:rFonts w:ascii="Times New Roman" w:hint="eastAsia"/>
          <w:lang w:val="en-US"/>
        </w:rPr>
        <w:t>），总引用</w:t>
      </w:r>
      <w:r>
        <w:rPr>
          <w:rFonts w:ascii="Times New Roman" w:hint="eastAsia"/>
          <w:lang w:val="en-US"/>
        </w:rPr>
        <w:t>2</w:t>
      </w:r>
      <w:r>
        <w:rPr>
          <w:rFonts w:ascii="Times New Roman"/>
          <w:lang w:val="en-US"/>
        </w:rPr>
        <w:t>500</w:t>
      </w:r>
      <w:r>
        <w:rPr>
          <w:rFonts w:ascii="Times New Roman" w:hint="eastAsia"/>
          <w:lang w:val="en-US"/>
        </w:rPr>
        <w:t>余次</w:t>
      </w:r>
      <w:r w:rsidRPr="00C5244E">
        <w:rPr>
          <w:rFonts w:ascii="Times New Roman" w:hint="eastAsia"/>
          <w:lang w:val="en-US"/>
        </w:rPr>
        <w:t>。授权或申请发明专利</w:t>
      </w:r>
      <w:r w:rsidRPr="00C5244E">
        <w:rPr>
          <w:rFonts w:ascii="Times New Roman" w:hint="eastAsia"/>
          <w:lang w:val="en-US"/>
        </w:rPr>
        <w:t>17</w:t>
      </w:r>
      <w:r w:rsidRPr="00C5244E">
        <w:rPr>
          <w:rFonts w:ascii="Times New Roman" w:hint="eastAsia"/>
          <w:lang w:val="en-US"/>
        </w:rPr>
        <w:t>项</w:t>
      </w:r>
      <w:r>
        <w:rPr>
          <w:rFonts w:ascii="Times New Roman" w:hint="eastAsia"/>
          <w:lang w:val="en-US"/>
        </w:rPr>
        <w:t>。</w:t>
      </w:r>
      <w:r w:rsidRPr="00C5244E">
        <w:rPr>
          <w:rFonts w:ascii="Times New Roman" w:hint="eastAsia"/>
          <w:lang w:val="en-US"/>
        </w:rPr>
        <w:t>研究成果受到</w:t>
      </w:r>
      <w:r w:rsidRPr="00C5244E">
        <w:rPr>
          <w:rFonts w:ascii="Times New Roman" w:hint="eastAsia"/>
          <w:lang w:val="en-US"/>
        </w:rPr>
        <w:t>Nature, Science, Cell</w:t>
      </w:r>
      <w:r>
        <w:rPr>
          <w:rFonts w:ascii="Times New Roman" w:hint="eastAsia"/>
          <w:lang w:val="en-US"/>
        </w:rPr>
        <w:t>等学术期刊的高度评价，并受到《时代周刊》、《华盛顿邮报》</w:t>
      </w:r>
      <w:r w:rsidRPr="00C5244E">
        <w:rPr>
          <w:rFonts w:ascii="Times New Roman" w:hint="eastAsia"/>
          <w:lang w:val="en-US"/>
        </w:rPr>
        <w:t>等报道。被</w:t>
      </w:r>
      <w:r>
        <w:rPr>
          <w:rFonts w:ascii="Times New Roman" w:hint="eastAsia"/>
          <w:lang w:val="en-US"/>
        </w:rPr>
        <w:t>推荐</w:t>
      </w:r>
      <w:r w:rsidRPr="00C5244E">
        <w:rPr>
          <w:rFonts w:ascii="Times New Roman" w:hint="eastAsia"/>
          <w:lang w:val="en-US"/>
        </w:rPr>
        <w:t>人多次应邀在冷泉港实验室、</w:t>
      </w:r>
      <w:r w:rsidRPr="00C5244E">
        <w:rPr>
          <w:rFonts w:ascii="Times New Roman" w:hint="eastAsia"/>
          <w:lang w:val="en-US"/>
        </w:rPr>
        <w:t>Gordon</w:t>
      </w:r>
      <w:r w:rsidRPr="00C5244E">
        <w:rPr>
          <w:rFonts w:ascii="Times New Roman" w:hint="eastAsia"/>
          <w:lang w:val="en-US"/>
        </w:rPr>
        <w:t>会议做大会报告，并应邀同美国科学院、俄罗斯科学院、加拿大衰老研究学会、德国洪堡基金会</w:t>
      </w:r>
      <w:r>
        <w:rPr>
          <w:rFonts w:ascii="Times New Roman" w:hint="eastAsia"/>
          <w:lang w:val="en-US"/>
        </w:rPr>
        <w:t>、日本国际领军人才计划等专家进行学术交流。研究成果</w:t>
      </w:r>
      <w:r w:rsidRPr="00C5244E">
        <w:rPr>
          <w:rFonts w:ascii="Times New Roman" w:hint="eastAsia"/>
          <w:lang w:val="en-US"/>
        </w:rPr>
        <w:t>受到</w:t>
      </w:r>
      <w:r w:rsidRPr="00C5244E">
        <w:rPr>
          <w:rFonts w:ascii="Times New Roman" w:hint="eastAsia"/>
          <w:lang w:val="en-US"/>
        </w:rPr>
        <w:t>Nature</w:t>
      </w:r>
      <w:r w:rsidRPr="00C5244E">
        <w:rPr>
          <w:rFonts w:ascii="Times New Roman" w:hint="eastAsia"/>
          <w:lang w:val="en-US"/>
        </w:rPr>
        <w:t>杂志（</w:t>
      </w:r>
      <w:r w:rsidRPr="00C5244E">
        <w:rPr>
          <w:rFonts w:ascii="Times New Roman" w:hint="eastAsia"/>
          <w:lang w:val="en-US"/>
        </w:rPr>
        <w:t>News</w:t>
      </w:r>
      <w:r w:rsidRPr="00C5244E">
        <w:rPr>
          <w:rFonts w:ascii="Times New Roman" w:hint="eastAsia"/>
          <w:lang w:val="en-US"/>
        </w:rPr>
        <w:t>）和</w:t>
      </w:r>
      <w:r w:rsidRPr="00C5244E">
        <w:rPr>
          <w:rFonts w:ascii="Times New Roman" w:hint="eastAsia"/>
          <w:lang w:val="en-US"/>
        </w:rPr>
        <w:t>BioTechniques</w:t>
      </w:r>
      <w:r w:rsidRPr="00C5244E">
        <w:rPr>
          <w:rFonts w:ascii="Times New Roman" w:hint="eastAsia"/>
          <w:lang w:val="en-US"/>
        </w:rPr>
        <w:t>网站的</w:t>
      </w:r>
      <w:r>
        <w:rPr>
          <w:rFonts w:ascii="Times New Roman" w:hint="eastAsia"/>
          <w:lang w:val="en-US"/>
        </w:rPr>
        <w:t>登</w:t>
      </w:r>
      <w:r w:rsidRPr="00C5244E">
        <w:rPr>
          <w:rFonts w:ascii="Times New Roman" w:hint="eastAsia"/>
          <w:lang w:val="en-US"/>
        </w:rPr>
        <w:t>访。</w:t>
      </w:r>
    </w:p>
    <w:p w14:paraId="4F6803B3" w14:textId="77777777" w:rsidR="00E17E4F" w:rsidRPr="00E17E4F" w:rsidRDefault="00E17E4F" w:rsidP="00E70573">
      <w:pPr>
        <w:adjustRightInd w:val="0"/>
        <w:spacing w:line="360" w:lineRule="auto"/>
        <w:rPr>
          <w:rFonts w:ascii="Times New Roman" w:eastAsia="宋体" w:hAnsi="Times New Roman" w:cs="Times New Roman"/>
          <w:sz w:val="24"/>
          <w:szCs w:val="24"/>
        </w:rPr>
      </w:pPr>
      <w:r w:rsidRPr="00E17E4F">
        <w:rPr>
          <w:rFonts w:ascii="Times New Roman" w:eastAsia="宋体" w:hAnsi="Times New Roman" w:cs="Times New Roman"/>
          <w:sz w:val="24"/>
          <w:szCs w:val="24"/>
        </w:rPr>
        <w:t xml:space="preserve">1. </w:t>
      </w:r>
      <w:r w:rsidRPr="00E17E4F">
        <w:rPr>
          <w:rFonts w:ascii="Times New Roman" w:eastAsia="宋体" w:hAnsi="Times New Roman" w:cs="Times New Roman" w:hint="eastAsia"/>
          <w:sz w:val="24"/>
          <w:szCs w:val="24"/>
        </w:rPr>
        <w:t>基于干细胞技术的人类衰老相关疾病模型建立、机制研究及药物筛选</w:t>
      </w:r>
    </w:p>
    <w:p w14:paraId="6462C86F" w14:textId="77777777" w:rsidR="00DB4CF8" w:rsidRPr="00E17E4F" w:rsidRDefault="00E17E4F" w:rsidP="00E70573">
      <w:pPr>
        <w:spacing w:line="360" w:lineRule="auto"/>
        <w:rPr>
          <w:rFonts w:ascii="Times New Roman" w:eastAsia="宋体" w:hAnsi="Times New Roman" w:cs="Times New Roman"/>
          <w:sz w:val="24"/>
          <w:szCs w:val="24"/>
        </w:rPr>
      </w:pPr>
      <w:r w:rsidRPr="00E17E4F">
        <w:rPr>
          <w:rFonts w:ascii="Times New Roman" w:eastAsia="宋体" w:hAnsi="Times New Roman" w:cs="Times New Roman" w:hint="eastAsia"/>
          <w:sz w:val="24"/>
          <w:szCs w:val="24"/>
        </w:rPr>
        <w:t xml:space="preserve">2. </w:t>
      </w:r>
      <w:r w:rsidRPr="00E17E4F">
        <w:rPr>
          <w:rFonts w:ascii="Times New Roman" w:eastAsia="宋体" w:hAnsi="Times New Roman" w:cs="Times New Roman" w:hint="eastAsia"/>
          <w:sz w:val="24"/>
          <w:szCs w:val="24"/>
        </w:rPr>
        <w:t>揭示儿童早衰症（</w:t>
      </w:r>
      <w:r w:rsidRPr="00E17E4F">
        <w:rPr>
          <w:rFonts w:ascii="Times New Roman" w:eastAsia="宋体" w:hAnsi="Times New Roman" w:cs="Times New Roman"/>
          <w:sz w:val="24"/>
          <w:szCs w:val="24"/>
        </w:rPr>
        <w:t>HGPS</w:t>
      </w:r>
      <w:r w:rsidRPr="00E17E4F">
        <w:rPr>
          <w:rFonts w:ascii="Times New Roman" w:eastAsia="宋体" w:hAnsi="Times New Roman" w:cs="Times New Roman" w:hint="eastAsia"/>
          <w:sz w:val="24"/>
          <w:szCs w:val="24"/>
        </w:rPr>
        <w:t>）间充质干细胞加速衰老的机理（</w:t>
      </w:r>
      <w:r w:rsidRPr="00E17E4F">
        <w:rPr>
          <w:rFonts w:ascii="Times New Roman" w:eastAsia="宋体" w:hAnsi="Times New Roman" w:cs="Times New Roman" w:hint="eastAsia"/>
          <w:sz w:val="24"/>
          <w:szCs w:val="24"/>
        </w:rPr>
        <w:t>Cell</w:t>
      </w:r>
      <w:r w:rsidRPr="00E17E4F">
        <w:rPr>
          <w:rFonts w:ascii="Times New Roman" w:eastAsia="宋体" w:hAnsi="Times New Roman" w:cs="Times New Roman"/>
          <w:sz w:val="24"/>
          <w:szCs w:val="24"/>
        </w:rPr>
        <w:t xml:space="preserve"> 2016</w:t>
      </w:r>
      <w:r w:rsidRPr="00E17E4F">
        <w:rPr>
          <w:rFonts w:ascii="Times New Roman" w:eastAsia="宋体" w:hAnsi="Times New Roman" w:cs="Times New Roman" w:hint="eastAsia"/>
          <w:sz w:val="24"/>
          <w:szCs w:val="24"/>
        </w:rPr>
        <w:t>）</w:t>
      </w:r>
    </w:p>
    <w:p w14:paraId="3CB0456F" w14:textId="77777777" w:rsidR="00E17E4F" w:rsidRPr="00E17E4F" w:rsidRDefault="00E17E4F" w:rsidP="00E70573">
      <w:pPr>
        <w:spacing w:line="360" w:lineRule="auto"/>
        <w:rPr>
          <w:rFonts w:ascii="Times New Roman" w:eastAsia="宋体" w:hAnsi="Times New Roman" w:cs="Times New Roman"/>
          <w:sz w:val="24"/>
          <w:szCs w:val="24"/>
        </w:rPr>
      </w:pPr>
      <w:r w:rsidRPr="00E17E4F">
        <w:rPr>
          <w:rFonts w:ascii="Times New Roman" w:eastAsia="宋体" w:hAnsi="Times New Roman" w:cs="Times New Roman" w:hint="eastAsia"/>
          <w:sz w:val="24"/>
          <w:szCs w:val="24"/>
        </w:rPr>
        <w:t xml:space="preserve">3. </w:t>
      </w:r>
      <w:r w:rsidRPr="00E17E4F">
        <w:rPr>
          <w:rFonts w:ascii="Times New Roman" w:eastAsia="宋体" w:hAnsi="Times New Roman" w:cs="Times New Roman" w:hint="eastAsia"/>
          <w:sz w:val="24"/>
          <w:szCs w:val="24"/>
        </w:rPr>
        <w:t>揭示</w:t>
      </w:r>
      <w:r w:rsidRPr="00E17E4F">
        <w:rPr>
          <w:rFonts w:ascii="Times New Roman" w:eastAsia="宋体" w:hAnsi="Times New Roman" w:cs="Times New Roman"/>
          <w:sz w:val="24"/>
          <w:szCs w:val="24"/>
        </w:rPr>
        <w:t>“</w:t>
      </w:r>
      <w:r w:rsidRPr="00E17E4F">
        <w:rPr>
          <w:rFonts w:ascii="Times New Roman" w:eastAsia="宋体" w:hAnsi="Times New Roman" w:cs="Times New Roman" w:hint="eastAsia"/>
          <w:sz w:val="24"/>
          <w:szCs w:val="24"/>
        </w:rPr>
        <w:t>长寿基因</w:t>
      </w:r>
      <w:r w:rsidRPr="00E17E4F">
        <w:rPr>
          <w:rFonts w:ascii="Times New Roman" w:eastAsia="宋体" w:hAnsi="Times New Roman" w:cs="Times New Roman"/>
          <w:sz w:val="24"/>
          <w:szCs w:val="24"/>
        </w:rPr>
        <w:t>”SIRT6</w:t>
      </w:r>
      <w:r w:rsidRPr="00E17E4F">
        <w:rPr>
          <w:rFonts w:ascii="Times New Roman" w:eastAsia="宋体" w:hAnsi="Times New Roman" w:cs="Times New Roman" w:hint="eastAsia"/>
          <w:sz w:val="24"/>
          <w:szCs w:val="24"/>
        </w:rPr>
        <w:t>调节人类干细胞衰老的新机制（</w:t>
      </w:r>
      <w:r w:rsidRPr="00E17E4F">
        <w:rPr>
          <w:rFonts w:ascii="Times New Roman" w:eastAsia="宋体" w:hAnsi="Times New Roman" w:cs="Times New Roman" w:hint="eastAsia"/>
          <w:sz w:val="24"/>
          <w:szCs w:val="24"/>
        </w:rPr>
        <w:t>C</w:t>
      </w:r>
      <w:r w:rsidRPr="00E17E4F">
        <w:rPr>
          <w:rFonts w:ascii="Times New Roman" w:eastAsia="宋体" w:hAnsi="Times New Roman" w:cs="Times New Roman"/>
          <w:sz w:val="24"/>
          <w:szCs w:val="24"/>
        </w:rPr>
        <w:t>ell Research 2016</w:t>
      </w:r>
      <w:r w:rsidRPr="00E17E4F">
        <w:rPr>
          <w:rFonts w:ascii="Times New Roman" w:eastAsia="宋体" w:hAnsi="Times New Roman" w:cs="Times New Roman" w:hint="eastAsia"/>
          <w:sz w:val="24"/>
          <w:szCs w:val="24"/>
        </w:rPr>
        <w:t>）</w:t>
      </w:r>
    </w:p>
    <w:p w14:paraId="51647782" w14:textId="77777777" w:rsidR="00E17E4F" w:rsidRPr="00E17E4F" w:rsidRDefault="00E17E4F" w:rsidP="00E70573">
      <w:pPr>
        <w:spacing w:line="360" w:lineRule="auto"/>
        <w:rPr>
          <w:rFonts w:ascii="Times New Roman" w:eastAsia="宋体" w:hAnsi="Times New Roman" w:cs="Times New Roman"/>
          <w:sz w:val="24"/>
          <w:szCs w:val="24"/>
        </w:rPr>
      </w:pPr>
      <w:r w:rsidRPr="00E17E4F">
        <w:rPr>
          <w:rFonts w:ascii="Times New Roman" w:eastAsia="宋体" w:hAnsi="Times New Roman" w:cs="Times New Roman" w:hint="eastAsia"/>
          <w:sz w:val="24"/>
          <w:szCs w:val="24"/>
        </w:rPr>
        <w:t xml:space="preserve">4. </w:t>
      </w:r>
      <w:r w:rsidRPr="00E17E4F">
        <w:rPr>
          <w:rFonts w:ascii="Times New Roman" w:eastAsia="宋体" w:hAnsi="Times New Roman" w:cs="Times New Roman" w:hint="eastAsia"/>
          <w:sz w:val="24"/>
          <w:szCs w:val="24"/>
        </w:rPr>
        <w:t>揭示人类成年早衰症（</w:t>
      </w:r>
      <w:r w:rsidRPr="00E17E4F">
        <w:rPr>
          <w:rFonts w:ascii="Times New Roman" w:eastAsia="宋体" w:hAnsi="Times New Roman" w:cs="Times New Roman"/>
          <w:sz w:val="24"/>
          <w:szCs w:val="24"/>
        </w:rPr>
        <w:t>WS</w:t>
      </w:r>
      <w:r w:rsidRPr="00E17E4F">
        <w:rPr>
          <w:rFonts w:ascii="Times New Roman" w:eastAsia="宋体" w:hAnsi="Times New Roman" w:cs="Times New Roman" w:hint="eastAsia"/>
          <w:sz w:val="24"/>
          <w:szCs w:val="24"/>
        </w:rPr>
        <w:t>）间充质干细胞加速衰老的表观遗传机制（</w:t>
      </w:r>
      <w:r w:rsidRPr="00E17E4F">
        <w:rPr>
          <w:rFonts w:ascii="Times New Roman" w:eastAsia="宋体" w:hAnsi="Times New Roman" w:cs="Times New Roman" w:hint="eastAsia"/>
          <w:sz w:val="24"/>
          <w:szCs w:val="24"/>
        </w:rPr>
        <w:t>S</w:t>
      </w:r>
      <w:r w:rsidRPr="00E17E4F">
        <w:rPr>
          <w:rFonts w:ascii="Times New Roman" w:eastAsia="宋体" w:hAnsi="Times New Roman" w:cs="Times New Roman"/>
          <w:sz w:val="24"/>
          <w:szCs w:val="24"/>
        </w:rPr>
        <w:t>cience 2015</w:t>
      </w:r>
      <w:r w:rsidRPr="00E17E4F">
        <w:rPr>
          <w:rFonts w:ascii="Times New Roman" w:eastAsia="宋体" w:hAnsi="Times New Roman" w:cs="Times New Roman" w:hint="eastAsia"/>
          <w:sz w:val="24"/>
          <w:szCs w:val="24"/>
        </w:rPr>
        <w:t>）</w:t>
      </w:r>
    </w:p>
    <w:p w14:paraId="16499B4F" w14:textId="77777777" w:rsidR="00E17E4F" w:rsidRPr="00E17E4F" w:rsidRDefault="00E17E4F" w:rsidP="00E70573">
      <w:pPr>
        <w:adjustRightInd w:val="0"/>
        <w:spacing w:line="360" w:lineRule="auto"/>
        <w:rPr>
          <w:rFonts w:ascii="Times New Roman" w:eastAsia="宋体" w:hAnsi="Times New Roman" w:cs="Times New Roman"/>
          <w:sz w:val="24"/>
          <w:szCs w:val="24"/>
        </w:rPr>
      </w:pPr>
      <w:r w:rsidRPr="00E17E4F">
        <w:rPr>
          <w:rFonts w:ascii="Times New Roman" w:eastAsia="宋体" w:hAnsi="Times New Roman" w:cs="Times New Roman" w:hint="eastAsia"/>
          <w:sz w:val="24"/>
          <w:szCs w:val="24"/>
        </w:rPr>
        <w:t xml:space="preserve">5. </w:t>
      </w:r>
      <w:r w:rsidRPr="00E17E4F">
        <w:rPr>
          <w:rFonts w:ascii="Times New Roman" w:eastAsia="宋体" w:hAnsi="Times New Roman" w:cs="Times New Roman" w:hint="eastAsia"/>
          <w:sz w:val="24"/>
          <w:szCs w:val="24"/>
        </w:rPr>
        <w:t>发展新型三维基因组成像系统用以观察干细胞衰老伴随的遗传和表观遗传改变</w:t>
      </w:r>
      <w:r w:rsidRPr="00E17E4F">
        <w:rPr>
          <w:rFonts w:ascii="Times New Roman" w:eastAsia="宋体" w:hAnsi="Times New Roman" w:cs="Times New Roman" w:hint="eastAsia"/>
          <w:sz w:val="24"/>
          <w:szCs w:val="24"/>
        </w:rPr>
        <w:t xml:space="preserve"> (</w:t>
      </w:r>
      <w:r w:rsidRPr="00E17E4F">
        <w:rPr>
          <w:rFonts w:ascii="Times New Roman" w:eastAsia="宋体" w:hAnsi="Times New Roman" w:cs="Times New Roman"/>
          <w:sz w:val="24"/>
          <w:szCs w:val="24"/>
        </w:rPr>
        <w:t>Cell Research 2017</w:t>
      </w:r>
      <w:r w:rsidRPr="00E17E4F">
        <w:rPr>
          <w:rFonts w:ascii="Times New Roman" w:eastAsia="宋体" w:hAnsi="Times New Roman" w:cs="Times New Roman" w:hint="eastAsia"/>
          <w:sz w:val="24"/>
          <w:szCs w:val="24"/>
        </w:rPr>
        <w:t>)</w:t>
      </w:r>
    </w:p>
    <w:p w14:paraId="20D7DA73" w14:textId="77777777" w:rsidR="00E17E4F" w:rsidRPr="00E17E4F" w:rsidRDefault="00E17E4F" w:rsidP="00E70573">
      <w:pPr>
        <w:spacing w:line="360" w:lineRule="auto"/>
        <w:rPr>
          <w:rFonts w:ascii="Times New Roman" w:eastAsia="宋体" w:hAnsi="Times New Roman" w:cs="Times New Roman"/>
          <w:sz w:val="24"/>
          <w:szCs w:val="24"/>
        </w:rPr>
      </w:pPr>
      <w:r w:rsidRPr="00E17E4F">
        <w:rPr>
          <w:rFonts w:ascii="Times New Roman" w:eastAsia="宋体" w:hAnsi="Times New Roman" w:cs="Times New Roman" w:hint="eastAsia"/>
          <w:sz w:val="24"/>
          <w:szCs w:val="24"/>
        </w:rPr>
        <w:t xml:space="preserve">6. </w:t>
      </w:r>
      <w:r w:rsidRPr="00E17E4F">
        <w:rPr>
          <w:rFonts w:ascii="Times New Roman" w:eastAsia="宋体" w:hAnsi="Times New Roman" w:cs="Times New Roman" w:hint="eastAsia"/>
          <w:sz w:val="24"/>
          <w:szCs w:val="24"/>
        </w:rPr>
        <w:t>揭示帕金森病（</w:t>
      </w:r>
      <w:r w:rsidRPr="00E17E4F">
        <w:rPr>
          <w:rFonts w:ascii="Times New Roman" w:eastAsia="宋体" w:hAnsi="Times New Roman" w:cs="Times New Roman"/>
          <w:sz w:val="24"/>
          <w:szCs w:val="24"/>
        </w:rPr>
        <w:t>PD</w:t>
      </w:r>
      <w:r w:rsidRPr="00E17E4F">
        <w:rPr>
          <w:rFonts w:ascii="Times New Roman" w:eastAsia="宋体" w:hAnsi="Times New Roman" w:cs="Times New Roman" w:hint="eastAsia"/>
          <w:sz w:val="24"/>
          <w:szCs w:val="24"/>
        </w:rPr>
        <w:t>）神经干细胞衰老的病理并探索其干预手段</w:t>
      </w:r>
      <w:r w:rsidRPr="00E17E4F">
        <w:rPr>
          <w:rFonts w:ascii="Times New Roman" w:eastAsia="宋体" w:hAnsi="Times New Roman" w:cs="Times New Roman" w:hint="eastAsia"/>
          <w:sz w:val="24"/>
          <w:szCs w:val="24"/>
        </w:rPr>
        <w:t xml:space="preserve"> (</w:t>
      </w:r>
      <w:r w:rsidRPr="00E17E4F">
        <w:rPr>
          <w:rFonts w:ascii="Times New Roman" w:eastAsia="宋体" w:hAnsi="Times New Roman" w:cs="Times New Roman"/>
          <w:sz w:val="24"/>
          <w:szCs w:val="24"/>
        </w:rPr>
        <w:t>Nature 2012</w:t>
      </w:r>
      <w:r w:rsidRPr="00E17E4F">
        <w:rPr>
          <w:rFonts w:ascii="Times New Roman" w:eastAsia="宋体" w:hAnsi="Times New Roman" w:cs="Times New Roman" w:hint="eastAsia"/>
          <w:sz w:val="24"/>
          <w:szCs w:val="24"/>
        </w:rPr>
        <w:t>)</w:t>
      </w:r>
    </w:p>
    <w:p w14:paraId="13E442D3" w14:textId="77777777" w:rsidR="00E17E4F" w:rsidRPr="00E17E4F" w:rsidRDefault="00E17E4F" w:rsidP="00E70573">
      <w:pPr>
        <w:adjustRightInd w:val="0"/>
        <w:spacing w:line="360" w:lineRule="auto"/>
        <w:rPr>
          <w:rFonts w:ascii="Times New Roman" w:eastAsia="宋体" w:hAnsi="Times New Roman" w:cs="Times New Roman"/>
          <w:sz w:val="24"/>
          <w:szCs w:val="24"/>
        </w:rPr>
      </w:pPr>
      <w:r w:rsidRPr="00E17E4F">
        <w:rPr>
          <w:rFonts w:ascii="Times New Roman" w:eastAsia="宋体" w:hAnsi="Times New Roman" w:cs="Times New Roman" w:hint="eastAsia"/>
          <w:sz w:val="24"/>
          <w:szCs w:val="24"/>
        </w:rPr>
        <w:t xml:space="preserve">7. </w:t>
      </w:r>
      <w:r w:rsidRPr="00E17E4F">
        <w:rPr>
          <w:rFonts w:ascii="Times New Roman" w:eastAsia="宋体" w:hAnsi="Times New Roman" w:cs="Times New Roman" w:hint="eastAsia"/>
          <w:sz w:val="24"/>
          <w:szCs w:val="24"/>
        </w:rPr>
        <w:t>阐明范可尼贫血症（</w:t>
      </w:r>
      <w:r w:rsidRPr="00E17E4F">
        <w:rPr>
          <w:rFonts w:ascii="Times New Roman" w:eastAsia="宋体" w:hAnsi="Times New Roman" w:cs="Times New Roman"/>
          <w:sz w:val="24"/>
          <w:szCs w:val="24"/>
        </w:rPr>
        <w:t>FA</w:t>
      </w:r>
      <w:r w:rsidRPr="00E17E4F">
        <w:rPr>
          <w:rFonts w:ascii="Times New Roman" w:eastAsia="宋体" w:hAnsi="Times New Roman" w:cs="Times New Roman" w:hint="eastAsia"/>
          <w:sz w:val="24"/>
          <w:szCs w:val="24"/>
        </w:rPr>
        <w:t>）造血干细胞加速衰老并探索新型干预</w:t>
      </w:r>
      <w:r w:rsidRPr="00E17E4F">
        <w:rPr>
          <w:rFonts w:ascii="Times New Roman" w:eastAsia="宋体" w:hAnsi="Times New Roman" w:cs="Times New Roman" w:hint="eastAsia"/>
          <w:sz w:val="24"/>
          <w:szCs w:val="24"/>
        </w:rPr>
        <w:t xml:space="preserve"> (</w:t>
      </w:r>
      <w:r w:rsidRPr="00E17E4F">
        <w:rPr>
          <w:rFonts w:ascii="Times New Roman" w:eastAsia="宋体" w:hAnsi="Times New Roman" w:cs="Times New Roman"/>
          <w:sz w:val="24"/>
          <w:szCs w:val="24"/>
        </w:rPr>
        <w:t>Nature Communications 2014</w:t>
      </w:r>
      <w:r w:rsidRPr="00E17E4F">
        <w:rPr>
          <w:rFonts w:ascii="Times New Roman" w:eastAsia="宋体" w:hAnsi="Times New Roman" w:cs="Times New Roman" w:hint="eastAsia"/>
          <w:sz w:val="24"/>
          <w:szCs w:val="24"/>
        </w:rPr>
        <w:t>)</w:t>
      </w:r>
    </w:p>
    <w:p w14:paraId="36E45259" w14:textId="77777777" w:rsidR="00E17E4F" w:rsidRPr="00E17E4F" w:rsidRDefault="00E17E4F" w:rsidP="00E70573">
      <w:pPr>
        <w:adjustRightInd w:val="0"/>
        <w:spacing w:line="360" w:lineRule="auto"/>
        <w:rPr>
          <w:rFonts w:ascii="Times New Roman" w:eastAsia="宋体" w:hAnsi="Times New Roman" w:cs="Times New Roman"/>
          <w:sz w:val="24"/>
          <w:szCs w:val="24"/>
        </w:rPr>
      </w:pPr>
      <w:r w:rsidRPr="00E17E4F">
        <w:rPr>
          <w:rFonts w:ascii="Times New Roman" w:eastAsia="宋体" w:hAnsi="Times New Roman" w:cs="Times New Roman" w:hint="eastAsia"/>
          <w:sz w:val="24"/>
          <w:szCs w:val="24"/>
        </w:rPr>
        <w:t xml:space="preserve">8. </w:t>
      </w:r>
      <w:r w:rsidRPr="00E17E4F">
        <w:rPr>
          <w:rFonts w:ascii="Times New Roman" w:eastAsia="宋体" w:hAnsi="Times New Roman" w:cs="Times New Roman" w:hint="eastAsia"/>
          <w:sz w:val="24"/>
          <w:szCs w:val="24"/>
        </w:rPr>
        <w:t>揭示神经干细胞衰老逃逸导致人类神经胶质母细胞瘤</w:t>
      </w:r>
      <w:r w:rsidRPr="00E17E4F">
        <w:rPr>
          <w:rFonts w:ascii="Times New Roman" w:eastAsia="宋体" w:hAnsi="Times New Roman" w:cs="Times New Roman"/>
          <w:sz w:val="24"/>
          <w:szCs w:val="24"/>
        </w:rPr>
        <w:t>(GBM)</w:t>
      </w:r>
      <w:r w:rsidRPr="00E17E4F">
        <w:rPr>
          <w:rFonts w:ascii="Times New Roman" w:eastAsia="宋体" w:hAnsi="Times New Roman" w:cs="Times New Roman" w:hint="eastAsia"/>
          <w:sz w:val="24"/>
          <w:szCs w:val="24"/>
        </w:rPr>
        <w:t>的分子机理</w:t>
      </w:r>
      <w:r w:rsidRPr="00E17E4F">
        <w:rPr>
          <w:rFonts w:ascii="Times New Roman" w:eastAsia="宋体" w:hAnsi="Times New Roman" w:cs="Times New Roman" w:hint="eastAsia"/>
          <w:sz w:val="24"/>
          <w:szCs w:val="24"/>
        </w:rPr>
        <w:t xml:space="preserve"> (</w:t>
      </w:r>
      <w:r w:rsidRPr="00E17E4F">
        <w:rPr>
          <w:rFonts w:ascii="Times New Roman" w:eastAsia="宋体" w:hAnsi="Times New Roman" w:cs="Times New Roman"/>
          <w:sz w:val="24"/>
          <w:szCs w:val="24"/>
        </w:rPr>
        <w:t>Nature Communications 2015</w:t>
      </w:r>
      <w:r w:rsidRPr="00E17E4F">
        <w:rPr>
          <w:rFonts w:ascii="Times New Roman" w:eastAsia="宋体" w:hAnsi="Times New Roman" w:cs="Times New Roman" w:hint="eastAsia"/>
          <w:sz w:val="24"/>
          <w:szCs w:val="24"/>
        </w:rPr>
        <w:t>)</w:t>
      </w:r>
    </w:p>
    <w:p w14:paraId="7037F4EC" w14:textId="77777777" w:rsidR="00E17E4F" w:rsidRPr="00E17E4F" w:rsidRDefault="00E17E4F"/>
    <w:sectPr w:rsidR="00E17E4F" w:rsidRPr="00E17E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02F48" w14:textId="77777777" w:rsidR="003E29B9" w:rsidRDefault="003E29B9" w:rsidP="00FF31B8">
      <w:r>
        <w:separator/>
      </w:r>
    </w:p>
  </w:endnote>
  <w:endnote w:type="continuationSeparator" w:id="0">
    <w:p w14:paraId="0FAD13E0" w14:textId="77777777" w:rsidR="003E29B9" w:rsidRDefault="003E29B9" w:rsidP="00FF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仿宋_GB2312">
    <w:charset w:val="86"/>
    <w:family w:val="auto"/>
    <w:pitch w:val="variable"/>
    <w:sig w:usb0="00000001" w:usb1="080E0000" w:usb2="00000010" w:usb3="00000000" w:csb0="00040000" w:csb1="00000000"/>
  </w:font>
  <w:font w:name="小标宋">
    <w:altName w:val="Brush Script MT"/>
    <w:charset w:val="86"/>
    <w:family w:val="script"/>
    <w:pitch w:val="fixed"/>
    <w:sig w:usb0="00000001" w:usb1="080E0000" w:usb2="00000010" w:usb3="00000000" w:csb0="00040000" w:csb1="00000000"/>
  </w:font>
  <w:font w:name="Tahoma">
    <w:panose1 w:val="020B0604030504040204"/>
    <w:charset w:val="00"/>
    <w:family w:val="auto"/>
    <w:pitch w:val="variable"/>
    <w:sig w:usb0="E1002EFF" w:usb1="C000605B" w:usb2="00000029" w:usb3="00000000" w:csb0="000101FF" w:csb1="00000000"/>
  </w:font>
  <w:font w:name="黑体">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4F687" w14:textId="77777777" w:rsidR="003E29B9" w:rsidRDefault="003E29B9" w:rsidP="00FF31B8">
      <w:r>
        <w:separator/>
      </w:r>
    </w:p>
  </w:footnote>
  <w:footnote w:type="continuationSeparator" w:id="0">
    <w:p w14:paraId="0BF8D66A" w14:textId="77777777" w:rsidR="003E29B9" w:rsidRDefault="003E29B9" w:rsidP="00FF31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B8"/>
    <w:rsid w:val="003E29B9"/>
    <w:rsid w:val="008F5465"/>
    <w:rsid w:val="00A22D4E"/>
    <w:rsid w:val="00D33D98"/>
    <w:rsid w:val="00D80155"/>
    <w:rsid w:val="00DB4CF8"/>
    <w:rsid w:val="00E17E4F"/>
    <w:rsid w:val="00E70573"/>
    <w:rsid w:val="00E74F16"/>
    <w:rsid w:val="00FF31B8"/>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1CDC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F31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F31B8"/>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FF31B8"/>
    <w:rPr>
      <w:sz w:val="18"/>
      <w:szCs w:val="18"/>
    </w:rPr>
  </w:style>
  <w:style w:type="paragraph" w:styleId="a5">
    <w:name w:val="footer"/>
    <w:basedOn w:val="a"/>
    <w:link w:val="a6"/>
    <w:uiPriority w:val="99"/>
    <w:semiHidden/>
    <w:unhideWhenUsed/>
    <w:rsid w:val="00FF31B8"/>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FF31B8"/>
    <w:rPr>
      <w:sz w:val="18"/>
      <w:szCs w:val="18"/>
    </w:rPr>
  </w:style>
  <w:style w:type="table" w:styleId="a7">
    <w:name w:val="Table Grid"/>
    <w:basedOn w:val="a1"/>
    <w:uiPriority w:val="59"/>
    <w:rsid w:val="00FF31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A">
    <w:name w:val="Body A"/>
    <w:rsid w:val="00FF31B8"/>
    <w:rPr>
      <w:rFonts w:ascii="Helvetica" w:eastAsia="ヒラギノ角ゴ Pro W3" w:hAnsi="Helvetica" w:cs="Times New Roman"/>
      <w:color w:val="000000"/>
      <w:kern w:val="0"/>
      <w:sz w:val="24"/>
      <w:szCs w:val="20"/>
    </w:rPr>
  </w:style>
  <w:style w:type="paragraph" w:styleId="a8">
    <w:name w:val="Plain Text"/>
    <w:basedOn w:val="a"/>
    <w:link w:val="a9"/>
    <w:unhideWhenUsed/>
    <w:qFormat/>
    <w:rsid w:val="00E17E4F"/>
    <w:pPr>
      <w:spacing w:line="360" w:lineRule="auto"/>
      <w:ind w:firstLineChars="200" w:firstLine="480"/>
    </w:pPr>
    <w:rPr>
      <w:rFonts w:ascii="仿宋_GB2312" w:eastAsia="宋体" w:hAnsi="Times New Roman" w:cs="Times New Roman"/>
      <w:sz w:val="24"/>
      <w:szCs w:val="24"/>
      <w:lang w:val="zh-CN"/>
    </w:rPr>
  </w:style>
  <w:style w:type="character" w:customStyle="1" w:styleId="a9">
    <w:name w:val="纯文本字符"/>
    <w:basedOn w:val="a0"/>
    <w:link w:val="a8"/>
    <w:qFormat/>
    <w:rsid w:val="00E17E4F"/>
    <w:rPr>
      <w:rFonts w:ascii="仿宋_GB2312" w:eastAsia="宋体" w:hAnsi="Times New Roman" w:cs="Times New Roman"/>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197</Words>
  <Characters>1126</Characters>
  <Application>Microsoft Macintosh Word</Application>
  <DocSecurity>0</DocSecurity>
  <Lines>9</Lines>
  <Paragraphs>2</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Helen XU</cp:lastModifiedBy>
  <cp:revision>3</cp:revision>
  <cp:lastPrinted>2017-10-19T15:42:00Z</cp:lastPrinted>
  <dcterms:created xsi:type="dcterms:W3CDTF">2017-10-19T15:43:00Z</dcterms:created>
  <dcterms:modified xsi:type="dcterms:W3CDTF">2017-10-19T15:45:00Z</dcterms:modified>
</cp:coreProperties>
</file>