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3E50" w14:textId="773FDC6D" w:rsidR="00B80604" w:rsidRPr="00D27C3A" w:rsidRDefault="00B80604" w:rsidP="00D27C3A">
      <w:pPr>
        <w:widowControl/>
        <w:ind w:left="375" w:hangingChars="250" w:hanging="375"/>
        <w:jc w:val="left"/>
        <w:rPr>
          <w:rFonts w:ascii="小标宋" w:eastAsia="小标宋" w:hAnsi="Tahoma" w:cs="Tahoma" w:hint="eastAsia"/>
          <w:color w:val="000000"/>
          <w:kern w:val="0"/>
          <w:sz w:val="30"/>
          <w:szCs w:val="30"/>
        </w:rPr>
      </w:pPr>
    </w:p>
    <w:tbl>
      <w:tblPr>
        <w:tblStyle w:val="a4"/>
        <w:tblW w:w="0" w:type="auto"/>
        <w:tblLook w:val="04A0" w:firstRow="1" w:lastRow="0" w:firstColumn="1" w:lastColumn="0" w:noHBand="0" w:noVBand="1"/>
      </w:tblPr>
      <w:tblGrid>
        <w:gridCol w:w="4148"/>
        <w:gridCol w:w="4148"/>
      </w:tblGrid>
      <w:tr w:rsidR="00B80604" w14:paraId="096C3A90" w14:textId="77777777" w:rsidTr="00B80604">
        <w:tc>
          <w:tcPr>
            <w:tcW w:w="4261" w:type="dxa"/>
          </w:tcPr>
          <w:p w14:paraId="395B5D94" w14:textId="77777777" w:rsidR="00B80604" w:rsidRPr="00166371" w:rsidRDefault="009376A3" w:rsidP="00710A66">
            <w:pPr>
              <w:snapToGrid w:val="0"/>
              <w:spacing w:beforeLines="50" w:before="156" w:afterLines="20" w:after="62" w:line="360" w:lineRule="auto"/>
              <w:rPr>
                <w:rFonts w:ascii="黑体" w:eastAsia="黑体" w:hAnsi="黑体"/>
                <w:sz w:val="28"/>
                <w:szCs w:val="28"/>
              </w:rPr>
            </w:pPr>
            <w:r>
              <w:rPr>
                <w:rFonts w:ascii="黑体" w:eastAsia="黑体" w:hAnsi="黑体" w:hint="eastAsia"/>
                <w:sz w:val="28"/>
                <w:szCs w:val="28"/>
              </w:rPr>
              <w:t>毕利军</w:t>
            </w:r>
          </w:p>
        </w:tc>
        <w:tc>
          <w:tcPr>
            <w:tcW w:w="4261" w:type="dxa"/>
          </w:tcPr>
          <w:p w14:paraId="0121D16F" w14:textId="77777777" w:rsidR="00B80604" w:rsidRPr="00166371" w:rsidRDefault="00B80604" w:rsidP="00710A66">
            <w:pPr>
              <w:snapToGrid w:val="0"/>
              <w:spacing w:beforeLines="50" w:before="156" w:afterLines="20" w:after="62" w:line="360" w:lineRule="auto"/>
              <w:rPr>
                <w:rFonts w:ascii="黑体" w:eastAsia="黑体" w:hAnsi="黑体"/>
                <w:sz w:val="28"/>
                <w:szCs w:val="28"/>
              </w:rPr>
            </w:pPr>
            <w:r w:rsidRPr="00166371">
              <w:rPr>
                <w:rFonts w:ascii="黑体" w:eastAsia="黑体" w:hAnsi="黑体" w:hint="eastAsia"/>
                <w:sz w:val="28"/>
                <w:szCs w:val="28"/>
              </w:rPr>
              <w:t>研究员</w:t>
            </w:r>
          </w:p>
        </w:tc>
      </w:tr>
      <w:tr w:rsidR="00B80604" w14:paraId="1ED7E45D" w14:textId="77777777" w:rsidTr="00166371">
        <w:trPr>
          <w:trHeight w:val="459"/>
        </w:trPr>
        <w:tc>
          <w:tcPr>
            <w:tcW w:w="8522" w:type="dxa"/>
            <w:gridSpan w:val="2"/>
          </w:tcPr>
          <w:p w14:paraId="180F5260" w14:textId="77777777" w:rsidR="00B80604" w:rsidRPr="00166371" w:rsidRDefault="00CE4348" w:rsidP="00710A66">
            <w:pPr>
              <w:snapToGrid w:val="0"/>
              <w:spacing w:beforeLines="50" w:before="156" w:afterLines="20" w:after="62" w:line="360" w:lineRule="auto"/>
              <w:rPr>
                <w:rFonts w:ascii="黑体" w:eastAsia="黑体" w:hAnsi="黑体"/>
                <w:sz w:val="28"/>
                <w:szCs w:val="28"/>
              </w:rPr>
            </w:pPr>
            <w:r>
              <w:rPr>
                <w:rFonts w:ascii="黑体" w:eastAsia="黑体" w:hAnsi="黑体" w:hint="eastAsia"/>
                <w:sz w:val="28"/>
                <w:szCs w:val="28"/>
              </w:rPr>
              <w:t>单位：</w:t>
            </w:r>
            <w:r w:rsidR="00B80604" w:rsidRPr="00166371">
              <w:rPr>
                <w:rFonts w:ascii="黑体" w:eastAsia="黑体" w:hAnsi="黑体" w:hint="eastAsia"/>
                <w:sz w:val="28"/>
                <w:szCs w:val="28"/>
              </w:rPr>
              <w:t>中国科学院生物物理研究所</w:t>
            </w:r>
          </w:p>
        </w:tc>
      </w:tr>
    </w:tbl>
    <w:p w14:paraId="5B607772" w14:textId="77777777" w:rsidR="0037170E" w:rsidRPr="0037170E" w:rsidRDefault="0037170E" w:rsidP="00E41C89">
      <w:pPr>
        <w:pStyle w:val="BodyA"/>
        <w:spacing w:line="360" w:lineRule="auto"/>
        <w:ind w:firstLineChars="150" w:firstLine="360"/>
        <w:rPr>
          <w:rFonts w:asciiTheme="majorEastAsia" w:eastAsiaTheme="majorEastAsia" w:hAnsiTheme="majorEastAsia"/>
          <w:color w:val="auto"/>
          <w:kern w:val="2"/>
          <w:szCs w:val="24"/>
        </w:rPr>
      </w:pPr>
      <w:r w:rsidRPr="0037170E">
        <w:rPr>
          <w:rFonts w:asciiTheme="majorEastAsia" w:eastAsiaTheme="majorEastAsia" w:hAnsiTheme="majorEastAsia" w:hint="eastAsia"/>
          <w:color w:val="auto"/>
          <w:kern w:val="2"/>
          <w:szCs w:val="24"/>
        </w:rPr>
        <w:t>毕利军博士于2004年回国，针对结核病检出率底、耐药严重、现有疫苗不理想等问题，第一个采用系统生物学和转化医学的全新视野和创新思维开展研究，取得一系列原始创新成果，在 Nature Genetics，Cell Research，C</w:t>
      </w:r>
      <w:r w:rsidRPr="0037170E">
        <w:rPr>
          <w:rFonts w:asciiTheme="majorEastAsia" w:eastAsiaTheme="majorEastAsia" w:hAnsiTheme="majorEastAsia"/>
          <w:color w:val="auto"/>
          <w:kern w:val="2"/>
          <w:szCs w:val="24"/>
        </w:rPr>
        <w:t>ell Reports</w:t>
      </w:r>
      <w:r w:rsidRPr="0037170E">
        <w:rPr>
          <w:rFonts w:asciiTheme="majorEastAsia" w:eastAsiaTheme="majorEastAsia" w:hAnsiTheme="majorEastAsia" w:hint="eastAsia"/>
          <w:color w:val="auto"/>
          <w:kern w:val="2"/>
          <w:szCs w:val="24"/>
        </w:rPr>
        <w:t>等刊物共发表 SCI 刊物 90余篇，申请专利40余项。为充分发挥中国科学院的科研技术优势和我国可控临床资源的优势、实现我国成为传染病治疗防控技术创新大国的目标、促进研究成果的尽快产业化</w:t>
      </w:r>
      <w:r w:rsidRPr="0037170E">
        <w:rPr>
          <w:rFonts w:asciiTheme="majorEastAsia" w:eastAsiaTheme="majorEastAsia" w:hAnsiTheme="majorEastAsia" w:cs="宋体" w:hint="eastAsia"/>
          <w:color w:val="auto"/>
          <w:kern w:val="2"/>
          <w:szCs w:val="24"/>
        </w:rPr>
        <w:t>，</w:t>
      </w:r>
      <w:r w:rsidRPr="0037170E">
        <w:rPr>
          <w:rFonts w:asciiTheme="majorEastAsia" w:eastAsiaTheme="majorEastAsia" w:hAnsiTheme="majorEastAsia" w:hint="eastAsia"/>
          <w:color w:val="auto"/>
          <w:kern w:val="2"/>
          <w:szCs w:val="24"/>
        </w:rPr>
        <w:t>2013 年，在中国科学院、广东省和佛山市政府支持下，创建了中国科学院生物物理所佛山分所。利用此平台，采用全新的研发模式，集成国家、地方和民间资源，加快推进知识转化，实现科技促进地方经济的转型和升级，将科学研究、科技促进地方经济发展和抗结核病公益性事业三个方面相结合，为最终实现控制结核病的公益性战略目标做出更多贡献。针对国际结核病疫苗和免疫诊断技术研究关键的瓶颈问题，结合世界前沿领域的研究基础，针对市场所需研究推出了一系列新成果：</w:t>
      </w:r>
    </w:p>
    <w:p w14:paraId="1ED346B1" w14:textId="77777777" w:rsidR="0037170E" w:rsidRPr="0037170E" w:rsidRDefault="0037170E" w:rsidP="0037170E">
      <w:pPr>
        <w:pStyle w:val="BodyA"/>
        <w:spacing w:line="360" w:lineRule="auto"/>
        <w:rPr>
          <w:rFonts w:asciiTheme="majorEastAsia" w:eastAsiaTheme="majorEastAsia" w:hAnsiTheme="majorEastAsia"/>
          <w:color w:val="auto"/>
          <w:kern w:val="2"/>
          <w:szCs w:val="24"/>
        </w:rPr>
      </w:pPr>
      <w:r w:rsidRPr="0037170E">
        <w:rPr>
          <w:rFonts w:asciiTheme="majorEastAsia" w:eastAsiaTheme="majorEastAsia" w:hAnsiTheme="majorEastAsia" w:hint="eastAsia"/>
          <w:color w:val="auto"/>
          <w:kern w:val="2"/>
          <w:szCs w:val="24"/>
        </w:rPr>
        <w:t>1、首次成功制备结核杆菌高纯度全蛋白组芯片（包含 4262 个蛋白，覆盖率95%</w:t>
      </w:r>
      <w:r w:rsidRPr="0037170E">
        <w:rPr>
          <w:rFonts w:asciiTheme="majorEastAsia" w:eastAsiaTheme="majorEastAsia" w:hAnsiTheme="majorEastAsia" w:cs="宋体" w:hint="eastAsia"/>
          <w:color w:val="auto"/>
          <w:kern w:val="2"/>
          <w:szCs w:val="24"/>
        </w:rPr>
        <w:t>，</w:t>
      </w:r>
      <w:r w:rsidRPr="0037170E">
        <w:rPr>
          <w:rFonts w:asciiTheme="majorEastAsia" w:eastAsiaTheme="majorEastAsia" w:hAnsiTheme="majorEastAsia" w:cs="宋体"/>
          <w:color w:val="auto"/>
          <w:kern w:val="2"/>
          <w:szCs w:val="24"/>
        </w:rPr>
        <w:t>Cell Reports 2014</w:t>
      </w:r>
      <w:r w:rsidRPr="0037170E">
        <w:rPr>
          <w:rFonts w:asciiTheme="majorEastAsia" w:eastAsiaTheme="majorEastAsia" w:hAnsiTheme="majorEastAsia" w:hint="eastAsia"/>
          <w:color w:val="auto"/>
          <w:kern w:val="2"/>
          <w:szCs w:val="24"/>
        </w:rPr>
        <w:t>），已在美国、英国和中国等多个国家使用，成为基础医学和临床研究的重要工具。</w:t>
      </w:r>
    </w:p>
    <w:p w14:paraId="2A4BB03F" w14:textId="77777777" w:rsidR="0037170E" w:rsidRPr="0037170E" w:rsidRDefault="0037170E" w:rsidP="0037170E">
      <w:pPr>
        <w:pStyle w:val="BodyA"/>
        <w:spacing w:line="360" w:lineRule="auto"/>
        <w:rPr>
          <w:rFonts w:asciiTheme="majorEastAsia" w:eastAsiaTheme="majorEastAsia" w:hAnsiTheme="majorEastAsia"/>
          <w:color w:val="auto"/>
          <w:kern w:val="2"/>
          <w:szCs w:val="24"/>
        </w:rPr>
      </w:pPr>
      <w:r w:rsidRPr="0037170E">
        <w:rPr>
          <w:rFonts w:asciiTheme="majorEastAsia" w:eastAsiaTheme="majorEastAsia" w:hAnsiTheme="majorEastAsia" w:hint="eastAsia"/>
          <w:color w:val="auto"/>
          <w:kern w:val="2"/>
          <w:szCs w:val="24"/>
        </w:rPr>
        <w:t>2、结核杆菌感染系列诊断试剂盒研发。利用包含4262个蛋白质的文库和蛋白质芯片，通量筛选</w:t>
      </w:r>
      <w:r w:rsidRPr="0037170E">
        <w:rPr>
          <w:rFonts w:asciiTheme="majorEastAsia" w:eastAsiaTheme="majorEastAsia" w:hAnsiTheme="majorEastAsia" w:cs="宋体" w:hint="eastAsia"/>
          <w:color w:val="auto"/>
          <w:kern w:val="2"/>
          <w:szCs w:val="24"/>
        </w:rPr>
        <w:t>分子标识物</w:t>
      </w:r>
      <w:r w:rsidRPr="0037170E">
        <w:rPr>
          <w:rFonts w:asciiTheme="majorEastAsia" w:eastAsiaTheme="majorEastAsia" w:hAnsiTheme="majorEastAsia" w:hint="eastAsia"/>
          <w:color w:val="auto"/>
          <w:kern w:val="2"/>
          <w:szCs w:val="24"/>
        </w:rPr>
        <w:t>。该研究申请专利26项，研发出4个新型诊断试剂盒。</w:t>
      </w:r>
    </w:p>
    <w:p w14:paraId="34B5205A" w14:textId="77777777" w:rsidR="0037170E" w:rsidRPr="00A96744" w:rsidRDefault="0037170E" w:rsidP="0037170E">
      <w:pPr>
        <w:pStyle w:val="BodyA"/>
        <w:spacing w:line="360" w:lineRule="auto"/>
        <w:rPr>
          <w:rFonts w:ascii="Times New Roman" w:eastAsia="宋体" w:hAnsi="Times New Roman"/>
          <w:color w:val="auto"/>
          <w:kern w:val="2"/>
          <w:szCs w:val="24"/>
        </w:rPr>
      </w:pPr>
      <w:r w:rsidRPr="0037170E">
        <w:rPr>
          <w:rFonts w:asciiTheme="majorEastAsia" w:eastAsiaTheme="majorEastAsia" w:hAnsiTheme="majorEastAsia" w:hint="eastAsia"/>
          <w:color w:val="auto"/>
          <w:kern w:val="2"/>
          <w:szCs w:val="24"/>
        </w:rPr>
        <w:t>3、系统研究发现结核杆菌耐药基因，解析了结核病药物靶标的三维结构（Nature Genetics, 2013）。该研究申请6个专利，研发6个新型结核杆菌耐药检测</w:t>
      </w:r>
      <w:r w:rsidRPr="0037170E">
        <w:rPr>
          <w:rFonts w:asciiTheme="majorEastAsia" w:eastAsiaTheme="majorEastAsia" w:hAnsiTheme="majorEastAsia" w:cs="宋体" w:hint="eastAsia"/>
          <w:color w:val="auto"/>
          <w:kern w:val="2"/>
          <w:szCs w:val="24"/>
        </w:rPr>
        <w:t>试剂盒。</w:t>
      </w:r>
    </w:p>
    <w:p w14:paraId="23A6F0C4" w14:textId="67F82819" w:rsidR="00D27C3A" w:rsidRDefault="00D27C3A">
      <w:pPr>
        <w:widowControl/>
        <w:jc w:val="left"/>
        <w:rPr>
          <w:rFonts w:ascii="宋体" w:eastAsia="宋体" w:hAnsi="宋体" w:cs="宋体"/>
          <w:color w:val="000000"/>
          <w:kern w:val="0"/>
          <w:szCs w:val="21"/>
        </w:rPr>
      </w:pPr>
      <w:r>
        <w:rPr>
          <w:rFonts w:ascii="宋体" w:eastAsia="宋体" w:hAnsi="宋体" w:cs="宋体"/>
          <w:color w:val="000000"/>
          <w:kern w:val="0"/>
          <w:szCs w:val="21"/>
        </w:rPr>
        <w:br w:type="page"/>
      </w:r>
    </w:p>
    <w:p w14:paraId="09F869DD" w14:textId="77777777" w:rsidR="0037170E" w:rsidRPr="0037170E" w:rsidRDefault="0037170E" w:rsidP="0037170E">
      <w:pPr>
        <w:widowControl/>
        <w:spacing w:before="100" w:beforeAutospacing="1" w:after="100" w:afterAutospacing="1" w:line="600" w:lineRule="atLeast"/>
        <w:ind w:right="840"/>
        <w:rPr>
          <w:rFonts w:ascii="宋体" w:eastAsia="宋体" w:hAnsi="宋体" w:cs="宋体" w:hint="eastAsia"/>
          <w:color w:val="000000"/>
          <w:kern w:val="0"/>
          <w:szCs w:val="21"/>
        </w:rPr>
      </w:pPr>
    </w:p>
    <w:tbl>
      <w:tblPr>
        <w:tblStyle w:val="a4"/>
        <w:tblW w:w="0" w:type="auto"/>
        <w:tblLook w:val="04A0" w:firstRow="1" w:lastRow="0" w:firstColumn="1" w:lastColumn="0" w:noHBand="0" w:noVBand="1"/>
      </w:tblPr>
      <w:tblGrid>
        <w:gridCol w:w="4148"/>
        <w:gridCol w:w="4148"/>
      </w:tblGrid>
      <w:tr w:rsidR="00B80604" w14:paraId="0F56AE0B" w14:textId="77777777" w:rsidTr="00B80604">
        <w:tc>
          <w:tcPr>
            <w:tcW w:w="4261" w:type="dxa"/>
          </w:tcPr>
          <w:p w14:paraId="1A01F4AA" w14:textId="77777777" w:rsidR="00B80604" w:rsidRPr="00166371" w:rsidRDefault="009376A3">
            <w:pPr>
              <w:rPr>
                <w:rFonts w:ascii="黑体" w:eastAsia="黑体" w:hAnsi="黑体"/>
                <w:sz w:val="28"/>
                <w:szCs w:val="28"/>
              </w:rPr>
            </w:pPr>
            <w:r>
              <w:rPr>
                <w:rFonts w:ascii="黑体" w:eastAsia="黑体" w:hAnsi="黑体" w:hint="eastAsia"/>
                <w:sz w:val="28"/>
                <w:szCs w:val="28"/>
              </w:rPr>
              <w:t>刘颖</w:t>
            </w:r>
          </w:p>
        </w:tc>
        <w:tc>
          <w:tcPr>
            <w:tcW w:w="4261" w:type="dxa"/>
          </w:tcPr>
          <w:p w14:paraId="5813EC22" w14:textId="77777777" w:rsidR="00B80604" w:rsidRPr="00166371" w:rsidRDefault="009376A3">
            <w:pPr>
              <w:rPr>
                <w:rFonts w:ascii="黑体" w:eastAsia="黑体" w:hAnsi="黑体"/>
                <w:sz w:val="28"/>
                <w:szCs w:val="28"/>
              </w:rPr>
            </w:pPr>
            <w:r>
              <w:rPr>
                <w:rFonts w:ascii="黑体" w:eastAsia="黑体" w:hAnsi="黑体" w:hint="eastAsia"/>
                <w:sz w:val="28"/>
                <w:szCs w:val="28"/>
              </w:rPr>
              <w:t>教授</w:t>
            </w:r>
          </w:p>
        </w:tc>
      </w:tr>
      <w:tr w:rsidR="00B80604" w14:paraId="6E7FAA90" w14:textId="77777777" w:rsidTr="00166371">
        <w:trPr>
          <w:trHeight w:val="378"/>
        </w:trPr>
        <w:tc>
          <w:tcPr>
            <w:tcW w:w="8522" w:type="dxa"/>
            <w:gridSpan w:val="2"/>
          </w:tcPr>
          <w:p w14:paraId="0B5F9FBC" w14:textId="77777777" w:rsidR="00B80604" w:rsidRPr="00166371" w:rsidRDefault="00CE4348" w:rsidP="009376A3">
            <w:pPr>
              <w:rPr>
                <w:rFonts w:ascii="黑体" w:eastAsia="黑体" w:hAnsi="黑体"/>
                <w:sz w:val="28"/>
                <w:szCs w:val="28"/>
              </w:rPr>
            </w:pPr>
            <w:r>
              <w:rPr>
                <w:rFonts w:ascii="黑体" w:eastAsia="黑体" w:hAnsi="黑体" w:hint="eastAsia"/>
                <w:sz w:val="28"/>
                <w:szCs w:val="28"/>
              </w:rPr>
              <w:t>单位：</w:t>
            </w:r>
            <w:r w:rsidR="009376A3">
              <w:rPr>
                <w:rFonts w:ascii="黑体" w:eastAsia="黑体" w:hAnsi="黑体" w:hint="eastAsia"/>
                <w:sz w:val="28"/>
                <w:szCs w:val="28"/>
              </w:rPr>
              <w:t>北京大学</w:t>
            </w:r>
          </w:p>
        </w:tc>
      </w:tr>
    </w:tbl>
    <w:p w14:paraId="32BF4A27" w14:textId="77777777" w:rsidR="00CE4348" w:rsidRDefault="00CE4348" w:rsidP="0037170E">
      <w:pPr>
        <w:rPr>
          <w:szCs w:val="21"/>
        </w:rPr>
      </w:pPr>
    </w:p>
    <w:p w14:paraId="6F8C8D1C" w14:textId="77777777" w:rsidR="0037170E" w:rsidRPr="0037170E" w:rsidRDefault="0037170E" w:rsidP="0037170E">
      <w:pPr>
        <w:spacing w:line="360" w:lineRule="auto"/>
        <w:rPr>
          <w:rFonts w:asciiTheme="majorEastAsia" w:eastAsiaTheme="majorEastAsia" w:hAnsiTheme="majorEastAsia"/>
          <w:sz w:val="24"/>
          <w:szCs w:val="24"/>
        </w:rPr>
      </w:pPr>
      <w:r w:rsidRPr="0037170E">
        <w:rPr>
          <w:rFonts w:asciiTheme="majorEastAsia" w:eastAsiaTheme="majorEastAsia" w:hAnsiTheme="majorEastAsia" w:hint="eastAsia"/>
          <w:sz w:val="24"/>
          <w:szCs w:val="24"/>
        </w:rPr>
        <w:t>1. 候选人以第一作者身份在</w:t>
      </w:r>
      <w:r w:rsidRPr="0037170E">
        <w:rPr>
          <w:rFonts w:asciiTheme="majorEastAsia" w:eastAsiaTheme="majorEastAsia" w:hAnsiTheme="majorEastAsia"/>
          <w:sz w:val="24"/>
          <w:szCs w:val="24"/>
        </w:rPr>
        <w:t>Science</w:t>
      </w:r>
      <w:r w:rsidRPr="0037170E">
        <w:rPr>
          <w:rFonts w:asciiTheme="majorEastAsia" w:eastAsiaTheme="majorEastAsia" w:hAnsiTheme="majorEastAsia" w:hint="eastAsia"/>
          <w:sz w:val="24"/>
          <w:szCs w:val="24"/>
        </w:rPr>
        <w:t>和</w:t>
      </w:r>
      <w:r w:rsidRPr="0037170E">
        <w:rPr>
          <w:rFonts w:asciiTheme="majorEastAsia" w:eastAsiaTheme="majorEastAsia" w:hAnsiTheme="majorEastAsia"/>
          <w:sz w:val="24"/>
          <w:szCs w:val="24"/>
        </w:rPr>
        <w:t>Molecular Cell</w:t>
      </w:r>
      <w:r w:rsidRPr="0037170E">
        <w:rPr>
          <w:rFonts w:asciiTheme="majorEastAsia" w:eastAsiaTheme="majorEastAsia" w:hAnsiTheme="majorEastAsia" w:hint="eastAsia"/>
          <w:sz w:val="24"/>
          <w:szCs w:val="24"/>
        </w:rPr>
        <w:t>杂志上发表了关于</w:t>
      </w:r>
      <w:r w:rsidRPr="0037170E">
        <w:rPr>
          <w:rFonts w:asciiTheme="majorEastAsia" w:eastAsiaTheme="majorEastAsia" w:hAnsiTheme="majorEastAsia"/>
          <w:sz w:val="24"/>
          <w:szCs w:val="24"/>
        </w:rPr>
        <w:t>RNA</w:t>
      </w:r>
      <w:r w:rsidRPr="0037170E">
        <w:rPr>
          <w:rFonts w:asciiTheme="majorEastAsia" w:eastAsiaTheme="majorEastAsia" w:hAnsiTheme="majorEastAsia" w:hint="eastAsia"/>
          <w:sz w:val="24"/>
          <w:szCs w:val="24"/>
        </w:rPr>
        <w:t>干扰（</w:t>
      </w:r>
      <w:r w:rsidRPr="0037170E">
        <w:rPr>
          <w:rFonts w:asciiTheme="majorEastAsia" w:eastAsiaTheme="majorEastAsia" w:hAnsiTheme="majorEastAsia"/>
          <w:sz w:val="24"/>
          <w:szCs w:val="24"/>
        </w:rPr>
        <w:t>RNAi</w:t>
      </w:r>
      <w:r w:rsidRPr="0037170E">
        <w:rPr>
          <w:rFonts w:asciiTheme="majorEastAsia" w:eastAsiaTheme="majorEastAsia" w:hAnsiTheme="majorEastAsia" w:hint="eastAsia"/>
          <w:sz w:val="24"/>
          <w:szCs w:val="24"/>
        </w:rPr>
        <w:t>）的分子机制研究。</w:t>
      </w:r>
    </w:p>
    <w:p w14:paraId="7E0E6E4B" w14:textId="77777777" w:rsidR="0037170E" w:rsidRPr="0037170E" w:rsidRDefault="0037170E" w:rsidP="0037170E">
      <w:pPr>
        <w:spacing w:line="360" w:lineRule="auto"/>
        <w:ind w:firstLineChars="200" w:firstLine="480"/>
        <w:rPr>
          <w:rFonts w:asciiTheme="majorEastAsia" w:eastAsiaTheme="majorEastAsia" w:hAnsiTheme="majorEastAsia"/>
          <w:sz w:val="24"/>
          <w:szCs w:val="24"/>
        </w:rPr>
      </w:pPr>
      <w:r w:rsidRPr="0037170E">
        <w:rPr>
          <w:rFonts w:asciiTheme="majorEastAsia" w:eastAsiaTheme="majorEastAsia" w:hAnsiTheme="majorEastAsia"/>
          <w:sz w:val="24"/>
          <w:szCs w:val="24"/>
        </w:rPr>
        <w:t xml:space="preserve">(1) </w:t>
      </w:r>
      <w:r w:rsidRPr="0037170E">
        <w:rPr>
          <w:rFonts w:asciiTheme="majorEastAsia" w:eastAsiaTheme="majorEastAsia" w:hAnsiTheme="majorEastAsia" w:hint="eastAsia"/>
          <w:sz w:val="24"/>
          <w:szCs w:val="24"/>
        </w:rPr>
        <w:t>候选人使用果蝇</w:t>
      </w:r>
      <w:r w:rsidRPr="0037170E">
        <w:rPr>
          <w:rFonts w:asciiTheme="majorEastAsia" w:eastAsiaTheme="majorEastAsia" w:hAnsiTheme="majorEastAsia"/>
          <w:sz w:val="24"/>
          <w:szCs w:val="24"/>
        </w:rPr>
        <w:t>Ago2</w:t>
      </w:r>
      <w:r w:rsidRPr="0037170E">
        <w:rPr>
          <w:rFonts w:asciiTheme="majorEastAsia" w:eastAsiaTheme="majorEastAsia" w:hAnsiTheme="majorEastAsia" w:hint="eastAsia"/>
          <w:sz w:val="24"/>
          <w:szCs w:val="24"/>
        </w:rPr>
        <w:t>, Dicer2和R2D2的重组蛋白，首次成功的在体外重建了由长dsRNA以及siRNA诱导的基因沉默，进而利用生物化学方法分离纯化出RNAi的激活蛋白C3PO。候选人阐明了RNAi途径的核心蛋白复合体——RNA诱导沉默复合体(RISC)的激活不是自发完成的，而需要C3PO蛋白通过其RNA酶活性对被切割的passenger strand进行降解从而实现的。候选人通过合作，解析了人源C3PO的结构，证明了C3PO是一种全新的RNA酶。</w:t>
      </w:r>
    </w:p>
    <w:p w14:paraId="0AAA2EA8" w14:textId="77777777" w:rsidR="0037170E" w:rsidRPr="0037170E" w:rsidRDefault="0037170E" w:rsidP="00B603A3">
      <w:pPr>
        <w:spacing w:line="360" w:lineRule="auto"/>
        <w:ind w:firstLineChars="200" w:firstLine="480"/>
        <w:rPr>
          <w:rFonts w:asciiTheme="majorEastAsia" w:eastAsiaTheme="majorEastAsia" w:hAnsiTheme="majorEastAsia"/>
          <w:sz w:val="24"/>
          <w:szCs w:val="24"/>
        </w:rPr>
      </w:pPr>
      <w:r w:rsidRPr="0037170E">
        <w:rPr>
          <w:rFonts w:asciiTheme="majorEastAsia" w:eastAsiaTheme="majorEastAsia" w:hAnsiTheme="majorEastAsia"/>
          <w:sz w:val="24"/>
          <w:szCs w:val="24"/>
        </w:rPr>
        <w:t>(2)</w:t>
      </w:r>
      <w:r w:rsidRPr="0037170E">
        <w:rPr>
          <w:rFonts w:asciiTheme="majorEastAsia" w:eastAsiaTheme="majorEastAsia" w:hAnsiTheme="majorEastAsia" w:hint="eastAsia"/>
          <w:sz w:val="24"/>
          <w:szCs w:val="24"/>
        </w:rPr>
        <w:t>候选人在体外重建了人源RNAi通路，并利用此体外模型研究RISC的多次催化降解过程，从而发现了协助RISC进行多次催化降解的蛋白La。</w:t>
      </w:r>
    </w:p>
    <w:p w14:paraId="3DCC9CCD" w14:textId="77777777" w:rsidR="0037170E" w:rsidRPr="0037170E" w:rsidRDefault="0037170E" w:rsidP="0037170E">
      <w:pPr>
        <w:spacing w:line="360" w:lineRule="auto"/>
        <w:rPr>
          <w:rFonts w:asciiTheme="majorEastAsia" w:eastAsiaTheme="majorEastAsia" w:hAnsiTheme="majorEastAsia"/>
          <w:sz w:val="24"/>
          <w:szCs w:val="24"/>
        </w:rPr>
      </w:pPr>
      <w:r w:rsidRPr="0037170E">
        <w:rPr>
          <w:rFonts w:asciiTheme="majorEastAsia" w:eastAsiaTheme="majorEastAsia" w:hAnsiTheme="majorEastAsia" w:hint="eastAsia"/>
          <w:sz w:val="24"/>
          <w:szCs w:val="24"/>
        </w:rPr>
        <w:t>2. 候选人以第一作者和通讯作者身份在</w:t>
      </w:r>
      <w:r w:rsidRPr="0037170E">
        <w:rPr>
          <w:rFonts w:asciiTheme="majorEastAsia" w:eastAsiaTheme="majorEastAsia" w:hAnsiTheme="majorEastAsia"/>
          <w:sz w:val="24"/>
          <w:szCs w:val="24"/>
        </w:rPr>
        <w:t>Nature</w:t>
      </w:r>
      <w:r w:rsidRPr="0037170E">
        <w:rPr>
          <w:rFonts w:asciiTheme="majorEastAsia" w:eastAsiaTheme="majorEastAsia" w:hAnsiTheme="majorEastAsia" w:hint="eastAsia"/>
          <w:sz w:val="24"/>
          <w:szCs w:val="24"/>
        </w:rPr>
        <w:t>和</w:t>
      </w:r>
      <w:r w:rsidRPr="0037170E">
        <w:rPr>
          <w:rFonts w:asciiTheme="majorEastAsia" w:eastAsiaTheme="majorEastAsia" w:hAnsiTheme="majorEastAsia"/>
          <w:sz w:val="24"/>
          <w:szCs w:val="24"/>
        </w:rPr>
        <w:t>Cell Research</w:t>
      </w:r>
      <w:r w:rsidRPr="0037170E">
        <w:rPr>
          <w:rFonts w:asciiTheme="majorEastAsia" w:eastAsiaTheme="majorEastAsia" w:hAnsiTheme="majorEastAsia" w:hint="eastAsia"/>
          <w:sz w:val="24"/>
          <w:szCs w:val="24"/>
        </w:rPr>
        <w:t>杂志上发表了关于线粒体功能监察和线粒体应激的分子机制研究。</w:t>
      </w:r>
    </w:p>
    <w:p w14:paraId="6DA84008" w14:textId="77777777" w:rsidR="0037170E" w:rsidRPr="0037170E" w:rsidRDefault="0037170E" w:rsidP="0037170E">
      <w:pPr>
        <w:spacing w:line="360" w:lineRule="auto"/>
        <w:rPr>
          <w:rFonts w:asciiTheme="majorEastAsia" w:eastAsiaTheme="majorEastAsia" w:hAnsiTheme="majorEastAsia"/>
          <w:sz w:val="24"/>
          <w:szCs w:val="24"/>
        </w:rPr>
      </w:pPr>
      <w:r w:rsidRPr="0037170E">
        <w:rPr>
          <w:rFonts w:asciiTheme="majorEastAsia" w:eastAsiaTheme="majorEastAsia" w:hAnsiTheme="majorEastAsia"/>
          <w:sz w:val="24"/>
          <w:szCs w:val="24"/>
        </w:rPr>
        <w:t xml:space="preserve">(1) </w:t>
      </w:r>
      <w:r w:rsidRPr="0037170E">
        <w:rPr>
          <w:rFonts w:asciiTheme="majorEastAsia" w:eastAsiaTheme="majorEastAsia" w:hAnsiTheme="majorEastAsia" w:hint="eastAsia"/>
          <w:sz w:val="24"/>
          <w:szCs w:val="24"/>
        </w:rPr>
        <w:t>候选人利用线虫作为模式生物，证明了生物体存在着对线粒体功能的监察，同时也证明了当线粒体受到损伤后，线虫会将线粒体损伤理解为受到外源化合物或病菌的进攻，从而激活排毒反应和免疫反应。利用全基因组高通量筛选，候选人找到45个可能与线粒体监察相关的基因并通过实验证明神经酰胺(Ceramide)和甲戊二羟酸(mevalonate)通路在线粒体功能监察中的关键作用。</w:t>
      </w:r>
    </w:p>
    <w:p w14:paraId="6AAD71C2" w14:textId="77777777" w:rsidR="00CE4348" w:rsidRPr="0037170E" w:rsidRDefault="0037170E" w:rsidP="0037170E">
      <w:pPr>
        <w:spacing w:line="360" w:lineRule="auto"/>
        <w:rPr>
          <w:rFonts w:asciiTheme="majorEastAsia" w:eastAsiaTheme="majorEastAsia" w:hAnsiTheme="majorEastAsia"/>
          <w:sz w:val="24"/>
          <w:szCs w:val="24"/>
        </w:rPr>
      </w:pPr>
      <w:r w:rsidRPr="0037170E">
        <w:rPr>
          <w:rFonts w:asciiTheme="majorEastAsia" w:eastAsiaTheme="majorEastAsia" w:hAnsiTheme="majorEastAsia"/>
          <w:sz w:val="24"/>
          <w:szCs w:val="24"/>
        </w:rPr>
        <w:t xml:space="preserve">(2) </w:t>
      </w:r>
      <w:r w:rsidRPr="0037170E">
        <w:rPr>
          <w:rFonts w:asciiTheme="majorEastAsia" w:eastAsiaTheme="majorEastAsia" w:hAnsiTheme="majorEastAsia" w:hint="eastAsia"/>
          <w:sz w:val="24"/>
          <w:szCs w:val="24"/>
        </w:rPr>
        <w:t>候选人证明了单独在神经细胞内抑制线粒体功能会激活其他组织的线粒体应激反应，并且通过</w:t>
      </w:r>
      <w:r w:rsidRPr="0037170E">
        <w:rPr>
          <w:rFonts w:asciiTheme="majorEastAsia" w:eastAsiaTheme="majorEastAsia" w:hAnsiTheme="majorEastAsia"/>
          <w:sz w:val="24"/>
          <w:szCs w:val="24"/>
        </w:rPr>
        <w:t>CRISPR/Cas9</w:t>
      </w:r>
      <w:r w:rsidRPr="0037170E">
        <w:rPr>
          <w:rFonts w:asciiTheme="majorEastAsia" w:eastAsiaTheme="majorEastAsia" w:hAnsiTheme="majorEastAsia" w:hint="eastAsia"/>
          <w:sz w:val="24"/>
          <w:szCs w:val="24"/>
        </w:rPr>
        <w:t>筛选发现inter neuron AIA和包括AWA在内的三对sensory neuron对于介导细胞非自主性线粒体应激反应的关键作用。同时证明了细胞非自主性线粒体应激反应依赖于5-羟色胺和神经肽FLP</w:t>
      </w:r>
      <w:r w:rsidRPr="0037170E">
        <w:rPr>
          <w:rFonts w:asciiTheme="majorEastAsia" w:eastAsiaTheme="majorEastAsia" w:hAnsiTheme="majorEastAsia"/>
          <w:sz w:val="24"/>
          <w:szCs w:val="24"/>
        </w:rPr>
        <w:t>-2</w:t>
      </w:r>
      <w:r w:rsidRPr="0037170E">
        <w:rPr>
          <w:rFonts w:asciiTheme="majorEastAsia" w:eastAsiaTheme="majorEastAsia" w:hAnsiTheme="majorEastAsia" w:hint="eastAsia"/>
          <w:sz w:val="24"/>
          <w:szCs w:val="24"/>
        </w:rPr>
        <w:t>。</w:t>
      </w:r>
    </w:p>
    <w:p w14:paraId="1AF20D40" w14:textId="77777777" w:rsidR="00CE4348" w:rsidRDefault="00CE4348" w:rsidP="0037170E">
      <w:pPr>
        <w:rPr>
          <w:szCs w:val="21"/>
        </w:rPr>
      </w:pPr>
    </w:p>
    <w:p w14:paraId="52F307B2" w14:textId="77777777" w:rsidR="00CE4348" w:rsidRDefault="00CE4348" w:rsidP="00B80604">
      <w:pPr>
        <w:rPr>
          <w:szCs w:val="21"/>
        </w:rPr>
      </w:pPr>
    </w:p>
    <w:p w14:paraId="507B2163" w14:textId="77777777" w:rsidR="00CE4348" w:rsidRDefault="00CE4348" w:rsidP="00B80604">
      <w:pPr>
        <w:rPr>
          <w:szCs w:val="21"/>
        </w:rPr>
      </w:pPr>
    </w:p>
    <w:p w14:paraId="48F038FB" w14:textId="77777777" w:rsidR="0037170E" w:rsidRDefault="0037170E" w:rsidP="00B80604">
      <w:pPr>
        <w:rPr>
          <w:szCs w:val="21"/>
        </w:rPr>
      </w:pPr>
    </w:p>
    <w:p w14:paraId="42C6C61B" w14:textId="18EFAF56" w:rsidR="00D27C3A" w:rsidRDefault="00D27C3A">
      <w:pPr>
        <w:widowControl/>
        <w:jc w:val="left"/>
        <w:rPr>
          <w:szCs w:val="21"/>
        </w:rPr>
      </w:pPr>
      <w:r>
        <w:rPr>
          <w:szCs w:val="21"/>
        </w:rPr>
        <w:br w:type="page"/>
      </w:r>
    </w:p>
    <w:p w14:paraId="5EAADA3D" w14:textId="77777777" w:rsidR="00B603A3" w:rsidRDefault="00B603A3" w:rsidP="00B80604">
      <w:pPr>
        <w:rPr>
          <w:rFonts w:hint="eastAsia"/>
          <w:szCs w:val="21"/>
        </w:rPr>
      </w:pPr>
      <w:bookmarkStart w:id="0" w:name="_GoBack"/>
      <w:bookmarkEnd w:id="0"/>
    </w:p>
    <w:tbl>
      <w:tblPr>
        <w:tblStyle w:val="a4"/>
        <w:tblW w:w="0" w:type="auto"/>
        <w:tblLook w:val="04A0" w:firstRow="1" w:lastRow="0" w:firstColumn="1" w:lastColumn="0" w:noHBand="0" w:noVBand="1"/>
      </w:tblPr>
      <w:tblGrid>
        <w:gridCol w:w="4148"/>
        <w:gridCol w:w="4148"/>
      </w:tblGrid>
      <w:tr w:rsidR="00CE4348" w14:paraId="00EA9FB1" w14:textId="77777777" w:rsidTr="00CE4348">
        <w:tc>
          <w:tcPr>
            <w:tcW w:w="4261" w:type="dxa"/>
          </w:tcPr>
          <w:p w14:paraId="5B834D98" w14:textId="77777777" w:rsidR="00CE4348" w:rsidRPr="00CE4348" w:rsidRDefault="009376A3" w:rsidP="00B80604">
            <w:pPr>
              <w:rPr>
                <w:rFonts w:ascii="黑体" w:eastAsia="黑体" w:hAnsi="黑体"/>
                <w:sz w:val="28"/>
                <w:szCs w:val="28"/>
              </w:rPr>
            </w:pPr>
            <w:r>
              <w:rPr>
                <w:rFonts w:ascii="黑体" w:eastAsia="黑体" w:hAnsi="黑体" w:hint="eastAsia"/>
                <w:sz w:val="28"/>
                <w:szCs w:val="28"/>
              </w:rPr>
              <w:t>魏梦萍</w:t>
            </w:r>
          </w:p>
        </w:tc>
        <w:tc>
          <w:tcPr>
            <w:tcW w:w="4261" w:type="dxa"/>
          </w:tcPr>
          <w:p w14:paraId="5744AE96" w14:textId="77777777" w:rsidR="00CE4348" w:rsidRPr="00CE4348" w:rsidRDefault="00CE4348" w:rsidP="00B80604">
            <w:pPr>
              <w:rPr>
                <w:rFonts w:ascii="黑体" w:eastAsia="黑体" w:hAnsi="黑体"/>
                <w:sz w:val="28"/>
                <w:szCs w:val="28"/>
              </w:rPr>
            </w:pPr>
            <w:r w:rsidRPr="00CE4348">
              <w:rPr>
                <w:rFonts w:ascii="黑体" w:eastAsia="黑体" w:hAnsi="黑体" w:hint="eastAsia"/>
                <w:sz w:val="28"/>
                <w:szCs w:val="28"/>
              </w:rPr>
              <w:t>在读博士</w:t>
            </w:r>
          </w:p>
        </w:tc>
      </w:tr>
      <w:tr w:rsidR="00CE4348" w14:paraId="42D8AC83" w14:textId="77777777" w:rsidTr="00CE4348">
        <w:trPr>
          <w:trHeight w:val="779"/>
        </w:trPr>
        <w:tc>
          <w:tcPr>
            <w:tcW w:w="8522" w:type="dxa"/>
            <w:gridSpan w:val="2"/>
          </w:tcPr>
          <w:p w14:paraId="43FCEBB1" w14:textId="77777777" w:rsidR="00CE4348" w:rsidRDefault="00CE4348" w:rsidP="00CE4348">
            <w:pPr>
              <w:spacing w:line="300" w:lineRule="exact"/>
              <w:jc w:val="left"/>
              <w:rPr>
                <w:rFonts w:ascii="黑体" w:eastAsia="黑体" w:hAnsi="黑体"/>
                <w:sz w:val="28"/>
                <w:szCs w:val="28"/>
              </w:rPr>
            </w:pPr>
          </w:p>
          <w:p w14:paraId="58EACD73" w14:textId="77777777" w:rsidR="00CE4348" w:rsidRPr="00CE4348" w:rsidRDefault="00CE4348" w:rsidP="009376A3">
            <w:pPr>
              <w:spacing w:line="300" w:lineRule="exact"/>
              <w:jc w:val="left"/>
              <w:rPr>
                <w:rFonts w:ascii="黑体" w:eastAsia="黑体" w:hAnsi="黑体"/>
                <w:sz w:val="28"/>
                <w:szCs w:val="28"/>
              </w:rPr>
            </w:pPr>
            <w:r>
              <w:rPr>
                <w:rFonts w:ascii="黑体" w:eastAsia="黑体" w:hAnsi="黑体" w:hint="eastAsia"/>
                <w:sz w:val="28"/>
                <w:szCs w:val="28"/>
              </w:rPr>
              <w:t>单位：</w:t>
            </w:r>
            <w:r w:rsidR="009376A3">
              <w:rPr>
                <w:rFonts w:ascii="黑体" w:eastAsia="黑体" w:hAnsi="黑体" w:hint="eastAsia"/>
                <w:sz w:val="28"/>
                <w:szCs w:val="28"/>
              </w:rPr>
              <w:t>北京大学</w:t>
            </w:r>
            <w:r w:rsidR="009376A3" w:rsidRPr="00CE4348">
              <w:rPr>
                <w:rFonts w:ascii="黑体" w:eastAsia="黑体" w:hAnsi="黑体"/>
                <w:sz w:val="28"/>
                <w:szCs w:val="28"/>
              </w:rPr>
              <w:t xml:space="preserve"> </w:t>
            </w:r>
          </w:p>
        </w:tc>
      </w:tr>
    </w:tbl>
    <w:p w14:paraId="0D5F0179" w14:textId="77777777" w:rsidR="0037170E" w:rsidRPr="0037170E" w:rsidRDefault="0037170E" w:rsidP="0037170E">
      <w:pPr>
        <w:pStyle w:val="TableParagraph"/>
        <w:spacing w:line="360" w:lineRule="auto"/>
        <w:ind w:left="101" w:right="101" w:firstLine="480"/>
        <w:jc w:val="both"/>
        <w:rPr>
          <w:rFonts w:asciiTheme="majorEastAsia" w:eastAsiaTheme="majorEastAsia" w:hAnsiTheme="majorEastAsia" w:cs="宋体"/>
          <w:sz w:val="24"/>
          <w:szCs w:val="24"/>
          <w:lang w:eastAsia="zh-CN"/>
        </w:rPr>
      </w:pPr>
      <w:r w:rsidRPr="0037170E">
        <w:rPr>
          <w:rFonts w:asciiTheme="majorEastAsia" w:eastAsiaTheme="majorEastAsia" w:hAnsiTheme="majorEastAsia" w:cs="宋体"/>
          <w:sz w:val="24"/>
          <w:szCs w:val="24"/>
          <w:lang w:eastAsia="zh-CN"/>
        </w:rPr>
        <w:t>申请人一直致力于对调节亚基对</w:t>
      </w:r>
      <w:r w:rsidRPr="0037170E">
        <w:rPr>
          <w:rFonts w:asciiTheme="majorEastAsia" w:eastAsiaTheme="majorEastAsia" w:hAnsiTheme="majorEastAsia" w:cs="宋体"/>
          <w:spacing w:val="-80"/>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15"/>
          <w:sz w:val="24"/>
          <w:szCs w:val="24"/>
          <w:lang w:eastAsia="zh-CN"/>
        </w:rPr>
        <w:t xml:space="preserve"> </w:t>
      </w:r>
      <w:r w:rsidRPr="0037170E">
        <w:rPr>
          <w:rFonts w:asciiTheme="majorEastAsia" w:eastAsiaTheme="majorEastAsia" w:hAnsiTheme="majorEastAsia" w:cs="宋体"/>
          <w:sz w:val="24"/>
          <w:szCs w:val="24"/>
          <w:lang w:eastAsia="zh-CN"/>
        </w:rPr>
        <w:t>受体的上膜和功能的调节及其作 用机制的研究。</w:t>
      </w:r>
      <w:r w:rsidRPr="0037170E">
        <w:rPr>
          <w:rFonts w:asciiTheme="majorEastAsia" w:eastAsiaTheme="majorEastAsia" w:hAnsiTheme="majorEastAsia" w:cs="Calibri"/>
          <w:sz w:val="24"/>
          <w:szCs w:val="24"/>
          <w:lang w:eastAsia="zh-CN"/>
        </w:rPr>
        <w:t>AMPA</w:t>
      </w:r>
      <w:r w:rsidRPr="0037170E">
        <w:rPr>
          <w:rFonts w:asciiTheme="majorEastAsia" w:eastAsiaTheme="majorEastAsia" w:hAnsiTheme="majorEastAsia" w:cs="Calibri"/>
          <w:spacing w:val="-7"/>
          <w:sz w:val="24"/>
          <w:szCs w:val="24"/>
          <w:lang w:eastAsia="zh-CN"/>
        </w:rPr>
        <w:t xml:space="preserve"> </w:t>
      </w:r>
      <w:r w:rsidRPr="0037170E">
        <w:rPr>
          <w:rFonts w:asciiTheme="majorEastAsia" w:eastAsiaTheme="majorEastAsia" w:hAnsiTheme="majorEastAsia" w:cs="宋体"/>
          <w:sz w:val="24"/>
          <w:szCs w:val="24"/>
          <w:lang w:eastAsia="zh-CN"/>
        </w:rPr>
        <w:t xml:space="preserve">受体是大脑中主要的兴奋性的突触后的受体，介导了 </w:t>
      </w:r>
      <w:r w:rsidRPr="0037170E">
        <w:rPr>
          <w:rFonts w:asciiTheme="majorEastAsia" w:eastAsiaTheme="majorEastAsia" w:hAnsiTheme="majorEastAsia" w:cs="宋体"/>
          <w:spacing w:val="-5"/>
          <w:sz w:val="24"/>
          <w:szCs w:val="24"/>
          <w:lang w:eastAsia="zh-CN"/>
        </w:rPr>
        <w:t>大脑中主要的兴奋性的突触传递。</w:t>
      </w:r>
      <w:r w:rsidRPr="0037170E">
        <w:rPr>
          <w:rFonts w:asciiTheme="majorEastAsia" w:eastAsiaTheme="majorEastAsia" w:hAnsiTheme="majorEastAsia" w:cs="Calibri"/>
          <w:spacing w:val="-5"/>
          <w:sz w:val="24"/>
          <w:szCs w:val="24"/>
          <w:lang w:eastAsia="zh-CN"/>
        </w:rPr>
        <w:t>AMPAs</w:t>
      </w:r>
      <w:r w:rsidRPr="0037170E">
        <w:rPr>
          <w:rFonts w:asciiTheme="majorEastAsia" w:eastAsiaTheme="majorEastAsia" w:hAnsiTheme="majorEastAsia" w:cs="Calibri"/>
          <w:spacing w:val="8"/>
          <w:sz w:val="24"/>
          <w:szCs w:val="24"/>
          <w:lang w:eastAsia="zh-CN"/>
        </w:rPr>
        <w:t xml:space="preserve"> </w:t>
      </w:r>
      <w:r w:rsidRPr="0037170E">
        <w:rPr>
          <w:rFonts w:asciiTheme="majorEastAsia" w:eastAsiaTheme="majorEastAsia" w:hAnsiTheme="majorEastAsia" w:cs="宋体"/>
          <w:sz w:val="24"/>
          <w:szCs w:val="24"/>
          <w:lang w:eastAsia="zh-CN"/>
        </w:rPr>
        <w:t>受体在脑中的正常的作用依赖于它 正常的膜定位和生理学功能。成熟的</w:t>
      </w:r>
      <w:r w:rsidRPr="0037170E">
        <w:rPr>
          <w:rFonts w:asciiTheme="majorEastAsia" w:eastAsiaTheme="majorEastAsia" w:hAnsiTheme="majorEastAsia" w:cs="宋体"/>
          <w:spacing w:val="-79"/>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13"/>
          <w:sz w:val="24"/>
          <w:szCs w:val="24"/>
          <w:lang w:eastAsia="zh-CN"/>
        </w:rPr>
        <w:t xml:space="preserve"> </w:t>
      </w:r>
      <w:r w:rsidRPr="0037170E">
        <w:rPr>
          <w:rFonts w:asciiTheme="majorEastAsia" w:eastAsiaTheme="majorEastAsia" w:hAnsiTheme="majorEastAsia" w:cs="宋体"/>
          <w:sz w:val="24"/>
          <w:szCs w:val="24"/>
          <w:lang w:eastAsia="zh-CN"/>
        </w:rPr>
        <w:t>受体是一个大的蛋白复合物，其 主要由</w:t>
      </w:r>
      <w:r w:rsidRPr="0037170E">
        <w:rPr>
          <w:rFonts w:asciiTheme="majorEastAsia" w:eastAsiaTheme="majorEastAsia" w:hAnsiTheme="majorEastAsia" w:cs="宋体"/>
          <w:spacing w:val="-59"/>
          <w:sz w:val="24"/>
          <w:szCs w:val="24"/>
          <w:lang w:eastAsia="zh-CN"/>
        </w:rPr>
        <w:t xml:space="preserve"> </w:t>
      </w:r>
      <w:r w:rsidRPr="0037170E">
        <w:rPr>
          <w:rFonts w:asciiTheme="majorEastAsia" w:eastAsiaTheme="majorEastAsia" w:hAnsiTheme="majorEastAsia" w:cs="Calibri"/>
          <w:sz w:val="24"/>
          <w:szCs w:val="24"/>
          <w:lang w:eastAsia="zh-CN"/>
        </w:rPr>
        <w:t>GluA1, GluA2, GluA3 and GluA4</w:t>
      </w:r>
      <w:r w:rsidRPr="0037170E">
        <w:rPr>
          <w:rFonts w:asciiTheme="majorEastAsia" w:eastAsiaTheme="majorEastAsia" w:hAnsiTheme="majorEastAsia" w:cs="Calibri"/>
          <w:spacing w:val="6"/>
          <w:sz w:val="24"/>
          <w:szCs w:val="24"/>
          <w:lang w:eastAsia="zh-CN"/>
        </w:rPr>
        <w:t xml:space="preserve"> </w:t>
      </w:r>
      <w:r w:rsidRPr="0037170E">
        <w:rPr>
          <w:rFonts w:asciiTheme="majorEastAsia" w:eastAsiaTheme="majorEastAsia" w:hAnsiTheme="majorEastAsia" w:cs="宋体"/>
          <w:spacing w:val="-3"/>
          <w:sz w:val="24"/>
          <w:szCs w:val="24"/>
          <w:lang w:eastAsia="zh-CN"/>
        </w:rPr>
        <w:t>四个核心亚基组成。</w:t>
      </w:r>
      <w:r w:rsidRPr="0037170E">
        <w:rPr>
          <w:rFonts w:asciiTheme="majorEastAsia" w:eastAsiaTheme="majorEastAsia" w:hAnsiTheme="majorEastAsia" w:cs="Calibri"/>
          <w:spacing w:val="-3"/>
          <w:sz w:val="24"/>
          <w:szCs w:val="24"/>
          <w:lang w:eastAsia="zh-CN"/>
        </w:rPr>
        <w:t>GluAs</w:t>
      </w:r>
      <w:r w:rsidRPr="0037170E">
        <w:rPr>
          <w:rFonts w:asciiTheme="majorEastAsia" w:eastAsiaTheme="majorEastAsia" w:hAnsiTheme="majorEastAsia" w:cs="Calibri"/>
          <w:spacing w:val="6"/>
          <w:sz w:val="24"/>
          <w:szCs w:val="24"/>
          <w:lang w:eastAsia="zh-CN"/>
        </w:rPr>
        <w:t xml:space="preserve"> </w:t>
      </w:r>
      <w:r w:rsidRPr="0037170E">
        <w:rPr>
          <w:rFonts w:asciiTheme="majorEastAsia" w:eastAsiaTheme="majorEastAsia" w:hAnsiTheme="majorEastAsia" w:cs="宋体"/>
          <w:sz w:val="24"/>
          <w:szCs w:val="24"/>
          <w:lang w:eastAsia="zh-CN"/>
        </w:rPr>
        <w:t>的亚基组成 对于</w:t>
      </w:r>
      <w:r w:rsidRPr="0037170E">
        <w:rPr>
          <w:rFonts w:asciiTheme="majorEastAsia" w:eastAsiaTheme="majorEastAsia" w:hAnsiTheme="majorEastAsia" w:cs="宋体"/>
          <w:spacing w:val="-58"/>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8"/>
          <w:sz w:val="24"/>
          <w:szCs w:val="24"/>
          <w:lang w:eastAsia="zh-CN"/>
        </w:rPr>
        <w:t xml:space="preserve"> </w:t>
      </w:r>
      <w:r w:rsidRPr="0037170E">
        <w:rPr>
          <w:rFonts w:asciiTheme="majorEastAsia" w:eastAsiaTheme="majorEastAsia" w:hAnsiTheme="majorEastAsia" w:cs="宋体"/>
          <w:spacing w:val="-5"/>
          <w:sz w:val="24"/>
          <w:szCs w:val="24"/>
          <w:lang w:eastAsia="zh-CN"/>
        </w:rPr>
        <w:t>受体运输到突触部位十分重要。除了这</w:t>
      </w:r>
      <w:r w:rsidRPr="0037170E">
        <w:rPr>
          <w:rFonts w:asciiTheme="majorEastAsia" w:eastAsiaTheme="majorEastAsia" w:hAnsiTheme="majorEastAsia" w:cs="宋体"/>
          <w:spacing w:val="-58"/>
          <w:sz w:val="24"/>
          <w:szCs w:val="24"/>
          <w:lang w:eastAsia="zh-CN"/>
        </w:rPr>
        <w:t xml:space="preserve"> </w:t>
      </w:r>
      <w:r w:rsidRPr="0037170E">
        <w:rPr>
          <w:rFonts w:asciiTheme="majorEastAsia" w:eastAsiaTheme="majorEastAsia" w:hAnsiTheme="majorEastAsia" w:cs="Calibri"/>
          <w:sz w:val="24"/>
          <w:szCs w:val="24"/>
          <w:lang w:eastAsia="zh-CN"/>
        </w:rPr>
        <w:t>4</w:t>
      </w:r>
      <w:r w:rsidRPr="0037170E">
        <w:rPr>
          <w:rFonts w:asciiTheme="majorEastAsia" w:eastAsiaTheme="majorEastAsia" w:hAnsiTheme="majorEastAsia" w:cs="Calibri"/>
          <w:spacing w:val="7"/>
          <w:sz w:val="24"/>
          <w:szCs w:val="24"/>
          <w:lang w:eastAsia="zh-CN"/>
        </w:rPr>
        <w:t xml:space="preserve"> </w:t>
      </w:r>
      <w:r w:rsidRPr="0037170E">
        <w:rPr>
          <w:rFonts w:asciiTheme="majorEastAsia" w:eastAsiaTheme="majorEastAsia" w:hAnsiTheme="majorEastAsia" w:cs="宋体"/>
          <w:spacing w:val="-8"/>
          <w:sz w:val="24"/>
          <w:szCs w:val="24"/>
          <w:lang w:eastAsia="zh-CN"/>
        </w:rPr>
        <w:t>个核心亚基以外，</w:t>
      </w:r>
      <w:r w:rsidRPr="0037170E">
        <w:rPr>
          <w:rFonts w:asciiTheme="majorEastAsia" w:eastAsiaTheme="majorEastAsia" w:hAnsiTheme="majorEastAsia" w:cs="Calibri"/>
          <w:spacing w:val="-8"/>
          <w:sz w:val="24"/>
          <w:szCs w:val="24"/>
          <w:lang w:eastAsia="zh-CN"/>
        </w:rPr>
        <w:t>AMPA</w:t>
      </w:r>
      <w:r w:rsidRPr="0037170E">
        <w:rPr>
          <w:rFonts w:asciiTheme="majorEastAsia" w:eastAsiaTheme="majorEastAsia" w:hAnsiTheme="majorEastAsia" w:cs="Calibri"/>
          <w:w w:val="99"/>
          <w:sz w:val="24"/>
          <w:szCs w:val="24"/>
          <w:lang w:eastAsia="zh-CN"/>
        </w:rPr>
        <w:t xml:space="preserve"> </w:t>
      </w:r>
      <w:r w:rsidRPr="0037170E">
        <w:rPr>
          <w:rFonts w:asciiTheme="majorEastAsia" w:eastAsiaTheme="majorEastAsia" w:hAnsiTheme="majorEastAsia" w:cs="宋体"/>
          <w:sz w:val="24"/>
          <w:szCs w:val="24"/>
          <w:lang w:eastAsia="zh-CN"/>
        </w:rPr>
        <w:t>受体大的蛋白复合物中还包括很多辅助调节亚基。这些亚基对于调节</w:t>
      </w:r>
      <w:r w:rsidRPr="0037170E">
        <w:rPr>
          <w:rFonts w:asciiTheme="majorEastAsia" w:eastAsiaTheme="majorEastAsia" w:hAnsiTheme="majorEastAsia" w:cs="宋体"/>
          <w:spacing w:val="-60"/>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w w:val="99"/>
          <w:sz w:val="24"/>
          <w:szCs w:val="24"/>
          <w:lang w:eastAsia="zh-CN"/>
        </w:rPr>
        <w:t xml:space="preserve"> </w:t>
      </w:r>
      <w:r w:rsidRPr="0037170E">
        <w:rPr>
          <w:rFonts w:asciiTheme="majorEastAsia" w:eastAsiaTheme="majorEastAsia" w:hAnsiTheme="majorEastAsia" w:cs="宋体"/>
          <w:spacing w:val="-2"/>
          <w:sz w:val="24"/>
          <w:szCs w:val="24"/>
          <w:lang w:eastAsia="zh-CN"/>
        </w:rPr>
        <w:t>受体的上膜和功能起到十分重要的作用。因此，对这些调控亚基的研究对于</w:t>
      </w:r>
    </w:p>
    <w:p w14:paraId="10C8374E" w14:textId="77777777" w:rsidR="0037170E" w:rsidRPr="0037170E" w:rsidRDefault="0037170E" w:rsidP="0037170E">
      <w:pPr>
        <w:pStyle w:val="TableParagraph"/>
        <w:spacing w:before="59" w:line="360" w:lineRule="auto"/>
        <w:ind w:left="581" w:hanging="480"/>
        <w:rPr>
          <w:rFonts w:asciiTheme="majorEastAsia" w:eastAsiaTheme="majorEastAsia" w:hAnsiTheme="majorEastAsia" w:cs="宋体"/>
          <w:sz w:val="24"/>
          <w:szCs w:val="24"/>
          <w:lang w:eastAsia="zh-CN"/>
        </w:rPr>
      </w:pPr>
      <w:r w:rsidRPr="0037170E">
        <w:rPr>
          <w:rFonts w:asciiTheme="majorEastAsia" w:eastAsiaTheme="majorEastAsia" w:hAnsiTheme="majorEastAsia" w:cs="宋体"/>
          <w:sz w:val="24"/>
          <w:szCs w:val="24"/>
          <w:lang w:eastAsia="zh-CN"/>
        </w:rPr>
        <w:t>理解</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6"/>
          <w:sz w:val="24"/>
          <w:szCs w:val="24"/>
          <w:lang w:eastAsia="zh-CN"/>
        </w:rPr>
        <w:t xml:space="preserve"> </w:t>
      </w:r>
      <w:r w:rsidRPr="0037170E">
        <w:rPr>
          <w:rFonts w:asciiTheme="majorEastAsia" w:eastAsiaTheme="majorEastAsia" w:hAnsiTheme="majorEastAsia" w:cs="宋体"/>
          <w:sz w:val="24"/>
          <w:szCs w:val="24"/>
          <w:lang w:eastAsia="zh-CN"/>
        </w:rPr>
        <w:t>受体以及大脑中的兴奋性突触传递是必要的。</w:t>
      </w:r>
    </w:p>
    <w:p w14:paraId="6BFE7596" w14:textId="77777777" w:rsidR="0037170E" w:rsidRPr="0037170E" w:rsidRDefault="0037170E" w:rsidP="0037170E">
      <w:pPr>
        <w:pStyle w:val="TableParagraph"/>
        <w:spacing w:line="360" w:lineRule="auto"/>
        <w:ind w:left="101" w:right="101" w:firstLine="480"/>
        <w:rPr>
          <w:rFonts w:asciiTheme="majorEastAsia" w:eastAsiaTheme="majorEastAsia" w:hAnsiTheme="majorEastAsia" w:cs="宋体"/>
          <w:sz w:val="24"/>
          <w:szCs w:val="24"/>
          <w:lang w:eastAsia="zh-CN"/>
        </w:rPr>
      </w:pPr>
      <w:r w:rsidRPr="0037170E">
        <w:rPr>
          <w:rFonts w:asciiTheme="majorEastAsia" w:eastAsiaTheme="majorEastAsia" w:hAnsiTheme="majorEastAsia" w:cs="宋体"/>
          <w:spacing w:val="-5"/>
          <w:sz w:val="24"/>
          <w:szCs w:val="24"/>
          <w:lang w:eastAsia="zh-CN"/>
        </w:rPr>
        <w:t>申请人之前的研究发现，</w:t>
      </w:r>
      <w:r w:rsidRPr="0037170E">
        <w:rPr>
          <w:rFonts w:asciiTheme="majorEastAsia" w:eastAsiaTheme="majorEastAsia" w:hAnsiTheme="majorEastAsia" w:cs="Calibri"/>
          <w:spacing w:val="-5"/>
          <w:sz w:val="24"/>
          <w:szCs w:val="24"/>
          <w:lang w:eastAsia="zh-CN"/>
        </w:rPr>
        <w:t>ABHD6</w:t>
      </w:r>
      <w:r w:rsidRPr="0037170E">
        <w:rPr>
          <w:rFonts w:asciiTheme="majorEastAsia" w:eastAsiaTheme="majorEastAsia" w:hAnsiTheme="majorEastAsia" w:cs="Calibri"/>
          <w:spacing w:val="7"/>
          <w:sz w:val="24"/>
          <w:szCs w:val="24"/>
          <w:lang w:eastAsia="zh-CN"/>
        </w:rPr>
        <w:t xml:space="preserve"> </w:t>
      </w:r>
      <w:r w:rsidRPr="0037170E">
        <w:rPr>
          <w:rFonts w:asciiTheme="majorEastAsia" w:eastAsiaTheme="majorEastAsia" w:hAnsiTheme="majorEastAsia" w:cs="宋体"/>
          <w:sz w:val="24"/>
          <w:szCs w:val="24"/>
          <w:lang w:eastAsia="zh-CN"/>
        </w:rPr>
        <w:t>可以显著性地降低</w:t>
      </w:r>
      <w:r w:rsidRPr="0037170E">
        <w:rPr>
          <w:rFonts w:asciiTheme="majorEastAsia" w:eastAsiaTheme="majorEastAsia" w:hAnsiTheme="majorEastAsia" w:cs="宋体"/>
          <w:spacing w:val="-57"/>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9"/>
          <w:sz w:val="24"/>
          <w:szCs w:val="24"/>
          <w:lang w:eastAsia="zh-CN"/>
        </w:rPr>
        <w:t xml:space="preserve"> </w:t>
      </w:r>
      <w:r w:rsidRPr="0037170E">
        <w:rPr>
          <w:rFonts w:asciiTheme="majorEastAsia" w:eastAsiaTheme="majorEastAsia" w:hAnsiTheme="majorEastAsia" w:cs="宋体"/>
          <w:sz w:val="24"/>
          <w:szCs w:val="24"/>
          <w:lang w:eastAsia="zh-CN"/>
        </w:rPr>
        <w:t xml:space="preserve">受体各亚基在 </w:t>
      </w:r>
      <w:r w:rsidRPr="0037170E">
        <w:rPr>
          <w:rFonts w:asciiTheme="majorEastAsia" w:eastAsiaTheme="majorEastAsia" w:hAnsiTheme="majorEastAsia" w:cs="宋体"/>
          <w:spacing w:val="-3"/>
          <w:sz w:val="24"/>
          <w:szCs w:val="24"/>
          <w:lang w:eastAsia="zh-CN"/>
        </w:rPr>
        <w:t>细胞膜表面的表达水平，并且可以抑制</w:t>
      </w:r>
      <w:r w:rsidRPr="0037170E">
        <w:rPr>
          <w:rFonts w:asciiTheme="majorEastAsia" w:eastAsiaTheme="majorEastAsia" w:hAnsiTheme="majorEastAsia" w:cs="宋体"/>
          <w:spacing w:val="-56"/>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10"/>
          <w:sz w:val="24"/>
          <w:szCs w:val="24"/>
          <w:lang w:eastAsia="zh-CN"/>
        </w:rPr>
        <w:t xml:space="preserve"> </w:t>
      </w:r>
      <w:r w:rsidRPr="0037170E">
        <w:rPr>
          <w:rFonts w:asciiTheme="majorEastAsia" w:eastAsiaTheme="majorEastAsia" w:hAnsiTheme="majorEastAsia" w:cs="宋体"/>
          <w:sz w:val="24"/>
          <w:szCs w:val="24"/>
          <w:lang w:eastAsia="zh-CN"/>
        </w:rPr>
        <w:t>受体介导的谷氨酸配体门控电 流的峰值和稳态值。但是对于</w:t>
      </w:r>
      <w:r w:rsidRPr="0037170E">
        <w:rPr>
          <w:rFonts w:asciiTheme="majorEastAsia" w:eastAsiaTheme="majorEastAsia" w:hAnsiTheme="majorEastAsia" w:cs="宋体"/>
          <w:spacing w:val="-60"/>
          <w:sz w:val="24"/>
          <w:szCs w:val="24"/>
          <w:lang w:eastAsia="zh-CN"/>
        </w:rPr>
        <w:t xml:space="preserve"> </w:t>
      </w:r>
      <w:r w:rsidRPr="0037170E">
        <w:rPr>
          <w:rFonts w:asciiTheme="majorEastAsia" w:eastAsiaTheme="majorEastAsia" w:hAnsiTheme="majorEastAsia" w:cs="Calibri"/>
          <w:sz w:val="24"/>
          <w:szCs w:val="24"/>
          <w:lang w:eastAsia="zh-CN"/>
        </w:rPr>
        <w:t>ABHD6</w:t>
      </w:r>
      <w:r w:rsidRPr="0037170E">
        <w:rPr>
          <w:rFonts w:asciiTheme="majorEastAsia" w:eastAsiaTheme="majorEastAsia" w:hAnsiTheme="majorEastAsia" w:cs="Calibri"/>
          <w:spacing w:val="4"/>
          <w:sz w:val="24"/>
          <w:szCs w:val="24"/>
          <w:lang w:eastAsia="zh-CN"/>
        </w:rPr>
        <w:t xml:space="preserve"> </w:t>
      </w:r>
      <w:r w:rsidRPr="0037170E">
        <w:rPr>
          <w:rFonts w:asciiTheme="majorEastAsia" w:eastAsiaTheme="majorEastAsia" w:hAnsiTheme="majorEastAsia" w:cs="宋体"/>
          <w:sz w:val="24"/>
          <w:szCs w:val="24"/>
          <w:lang w:eastAsia="zh-CN"/>
        </w:rPr>
        <w:t>对</w:t>
      </w:r>
      <w:r w:rsidRPr="0037170E">
        <w:rPr>
          <w:rFonts w:asciiTheme="majorEastAsia" w:eastAsiaTheme="majorEastAsia" w:hAnsiTheme="majorEastAsia" w:cs="宋体"/>
          <w:spacing w:val="-60"/>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6"/>
          <w:sz w:val="24"/>
          <w:szCs w:val="24"/>
          <w:lang w:eastAsia="zh-CN"/>
        </w:rPr>
        <w:t xml:space="preserve"> </w:t>
      </w:r>
      <w:r w:rsidRPr="0037170E">
        <w:rPr>
          <w:rFonts w:asciiTheme="majorEastAsia" w:eastAsiaTheme="majorEastAsia" w:hAnsiTheme="majorEastAsia" w:cs="宋体"/>
          <w:sz w:val="24"/>
          <w:szCs w:val="24"/>
          <w:lang w:eastAsia="zh-CN"/>
        </w:rPr>
        <w:t xml:space="preserve">受体的具体调控机制，目前 </w:t>
      </w:r>
      <w:r w:rsidRPr="0037170E">
        <w:rPr>
          <w:rFonts w:asciiTheme="majorEastAsia" w:eastAsiaTheme="majorEastAsia" w:hAnsiTheme="majorEastAsia" w:cs="宋体"/>
          <w:spacing w:val="-2"/>
          <w:sz w:val="24"/>
          <w:szCs w:val="24"/>
          <w:lang w:eastAsia="zh-CN"/>
        </w:rPr>
        <w:t>还不是很清楚。在接下来的研究中，申请者希望通过活细胞成像和突触前后</w:t>
      </w:r>
      <w:r w:rsidRPr="0037170E">
        <w:rPr>
          <w:rFonts w:asciiTheme="majorEastAsia" w:eastAsiaTheme="majorEastAsia" w:hAnsiTheme="majorEastAsia" w:cs="宋体"/>
          <w:spacing w:val="-108"/>
          <w:sz w:val="24"/>
          <w:szCs w:val="24"/>
          <w:lang w:eastAsia="zh-CN"/>
        </w:rPr>
        <w:t xml:space="preserve"> </w:t>
      </w:r>
      <w:r w:rsidRPr="0037170E">
        <w:rPr>
          <w:rFonts w:asciiTheme="majorEastAsia" w:eastAsiaTheme="majorEastAsia" w:hAnsiTheme="majorEastAsia" w:cs="宋体"/>
          <w:sz w:val="24"/>
          <w:szCs w:val="24"/>
          <w:lang w:eastAsia="zh-CN"/>
        </w:rPr>
        <w:t>的蛋白定量来进一步探究</w:t>
      </w:r>
      <w:r w:rsidRPr="0037170E">
        <w:rPr>
          <w:rFonts w:asciiTheme="majorEastAsia" w:eastAsiaTheme="majorEastAsia" w:hAnsiTheme="majorEastAsia" w:cs="宋体"/>
          <w:spacing w:val="-61"/>
          <w:sz w:val="24"/>
          <w:szCs w:val="24"/>
          <w:lang w:eastAsia="zh-CN"/>
        </w:rPr>
        <w:t xml:space="preserve"> </w:t>
      </w:r>
      <w:r w:rsidRPr="0037170E">
        <w:rPr>
          <w:rFonts w:asciiTheme="majorEastAsia" w:eastAsiaTheme="majorEastAsia" w:hAnsiTheme="majorEastAsia" w:cs="Calibri"/>
          <w:sz w:val="24"/>
          <w:szCs w:val="24"/>
          <w:lang w:eastAsia="zh-CN"/>
        </w:rPr>
        <w:t>ABHD6</w:t>
      </w:r>
      <w:r w:rsidRPr="0037170E">
        <w:rPr>
          <w:rFonts w:asciiTheme="majorEastAsia" w:eastAsiaTheme="majorEastAsia" w:hAnsiTheme="majorEastAsia" w:cs="Calibri"/>
          <w:spacing w:val="4"/>
          <w:sz w:val="24"/>
          <w:szCs w:val="24"/>
          <w:lang w:eastAsia="zh-CN"/>
        </w:rPr>
        <w:t xml:space="preserve"> </w:t>
      </w:r>
      <w:r w:rsidRPr="0037170E">
        <w:rPr>
          <w:rFonts w:asciiTheme="majorEastAsia" w:eastAsiaTheme="majorEastAsia" w:hAnsiTheme="majorEastAsia" w:cs="宋体"/>
          <w:sz w:val="24"/>
          <w:szCs w:val="24"/>
          <w:lang w:eastAsia="zh-CN"/>
        </w:rPr>
        <w:t>对</w:t>
      </w:r>
      <w:r w:rsidRPr="0037170E">
        <w:rPr>
          <w:rFonts w:asciiTheme="majorEastAsia" w:eastAsiaTheme="majorEastAsia" w:hAnsiTheme="majorEastAsia" w:cs="宋体"/>
          <w:spacing w:val="-61"/>
          <w:sz w:val="24"/>
          <w:szCs w:val="24"/>
          <w:lang w:eastAsia="zh-CN"/>
        </w:rPr>
        <w:t xml:space="preserve"> </w:t>
      </w:r>
      <w:r w:rsidRPr="0037170E">
        <w:rPr>
          <w:rFonts w:asciiTheme="majorEastAsia" w:eastAsiaTheme="majorEastAsia" w:hAnsiTheme="majorEastAsia" w:cs="Calibri"/>
          <w:spacing w:val="-5"/>
          <w:sz w:val="24"/>
          <w:szCs w:val="24"/>
          <w:lang w:eastAsia="zh-CN"/>
        </w:rPr>
        <w:t>AMPA</w:t>
      </w:r>
      <w:r w:rsidRPr="0037170E">
        <w:rPr>
          <w:rFonts w:asciiTheme="majorEastAsia" w:eastAsiaTheme="majorEastAsia" w:hAnsiTheme="majorEastAsia" w:cs="Calibri"/>
          <w:spacing w:val="5"/>
          <w:sz w:val="24"/>
          <w:szCs w:val="24"/>
          <w:lang w:eastAsia="zh-CN"/>
        </w:rPr>
        <w:t xml:space="preserve"> </w:t>
      </w:r>
      <w:r w:rsidRPr="0037170E">
        <w:rPr>
          <w:rFonts w:asciiTheme="majorEastAsia" w:eastAsiaTheme="majorEastAsia" w:hAnsiTheme="majorEastAsia" w:cs="宋体"/>
          <w:sz w:val="24"/>
          <w:szCs w:val="24"/>
          <w:lang w:eastAsia="zh-CN"/>
        </w:rPr>
        <w:t>受体的调控机制。</w:t>
      </w:r>
    </w:p>
    <w:p w14:paraId="1BF1FBEC" w14:textId="77777777" w:rsidR="00CE4348" w:rsidRPr="0037170E" w:rsidRDefault="0037170E" w:rsidP="0037170E">
      <w:pPr>
        <w:spacing w:line="360" w:lineRule="auto"/>
        <w:ind w:firstLineChars="250" w:firstLine="600"/>
        <w:rPr>
          <w:rFonts w:asciiTheme="majorEastAsia" w:eastAsiaTheme="majorEastAsia" w:hAnsiTheme="majorEastAsia" w:cs="宋体"/>
          <w:kern w:val="0"/>
          <w:sz w:val="24"/>
          <w:szCs w:val="24"/>
        </w:rPr>
      </w:pPr>
      <w:r w:rsidRPr="0037170E">
        <w:rPr>
          <w:rFonts w:asciiTheme="majorEastAsia" w:eastAsiaTheme="majorEastAsia" w:hAnsiTheme="majorEastAsia" w:cs="宋体"/>
          <w:kern w:val="0"/>
          <w:sz w:val="24"/>
          <w:szCs w:val="24"/>
        </w:rPr>
        <w:t>此外，由于 AMPA 受体的胞外段占据了 AMPA 受体蛋白总长的大部分， 因此推测能够与 AMPA 受体的胞外段相互作用的蛋白可能会对 AMPA 受体通 道动力学产生较大影响。因此申请者拟构建 AMPA 受体胞外段融合 Ig 蛋白的 Fc 段的融合蛋白，在真核细胞中大量产这种蛋白，并通过 Protein A 的 beads 对蛋白进行纯化。利用纯化得到的蛋白进行 pull-down 实验，通过质谱实验， 得到可能与 AMPA 受体 N 端相互作用的蛋白。再进一步运用分子生物学、生 物化学、电生理技术、活细胞成像等多种手段，系统地研究这些蛋白对 AMPA 受体生理功能的作用。</w:t>
      </w:r>
    </w:p>
    <w:p w14:paraId="2D5A4D19" w14:textId="77777777" w:rsidR="0037170E" w:rsidRPr="0037170E" w:rsidRDefault="0037170E" w:rsidP="0037170E">
      <w:pPr>
        <w:spacing w:line="360" w:lineRule="auto"/>
        <w:rPr>
          <w:rFonts w:asciiTheme="majorEastAsia" w:eastAsiaTheme="majorEastAsia" w:hAnsiTheme="majorEastAsia" w:cs="宋体"/>
          <w:kern w:val="0"/>
          <w:sz w:val="24"/>
          <w:szCs w:val="24"/>
        </w:rPr>
      </w:pPr>
    </w:p>
    <w:sectPr w:rsidR="0037170E" w:rsidRPr="0037170E" w:rsidSect="002D6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B0D6B" w14:textId="77777777" w:rsidR="007D2077" w:rsidRDefault="007D2077" w:rsidP="00710A66">
      <w:r>
        <w:separator/>
      </w:r>
    </w:p>
  </w:endnote>
  <w:endnote w:type="continuationSeparator" w:id="0">
    <w:p w14:paraId="43BEA2E9" w14:textId="77777777" w:rsidR="007D2077" w:rsidRDefault="007D2077" w:rsidP="0071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小标宋">
    <w:altName w:val="Brush Script MT"/>
    <w:charset w:val="86"/>
    <w:family w:val="script"/>
    <w:pitch w:val="fixed"/>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9DD0" w14:textId="77777777" w:rsidR="007D2077" w:rsidRDefault="007D2077" w:rsidP="00710A66">
      <w:r>
        <w:separator/>
      </w:r>
    </w:p>
  </w:footnote>
  <w:footnote w:type="continuationSeparator" w:id="0">
    <w:p w14:paraId="2B422025" w14:textId="77777777" w:rsidR="007D2077" w:rsidRDefault="007D2077" w:rsidP="00710A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7727"/>
    <w:multiLevelType w:val="hybridMultilevel"/>
    <w:tmpl w:val="6DC0CFCE"/>
    <w:lvl w:ilvl="0" w:tplc="9CE6AE9E">
      <w:start w:val="1"/>
      <w:numFmt w:val="decimal"/>
      <w:lvlText w:val="%1."/>
      <w:lvlJc w:val="left"/>
      <w:pPr>
        <w:ind w:left="360" w:hanging="36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6D"/>
    <w:rsid w:val="000F6E41"/>
    <w:rsid w:val="00166371"/>
    <w:rsid w:val="002D6D0E"/>
    <w:rsid w:val="003328C2"/>
    <w:rsid w:val="0037170E"/>
    <w:rsid w:val="00397020"/>
    <w:rsid w:val="003D4CA7"/>
    <w:rsid w:val="003D7082"/>
    <w:rsid w:val="003F483D"/>
    <w:rsid w:val="00427FF1"/>
    <w:rsid w:val="004760F5"/>
    <w:rsid w:val="0055125E"/>
    <w:rsid w:val="0055776D"/>
    <w:rsid w:val="006775EB"/>
    <w:rsid w:val="00710A66"/>
    <w:rsid w:val="007D2077"/>
    <w:rsid w:val="009376A3"/>
    <w:rsid w:val="009741BE"/>
    <w:rsid w:val="00A251BA"/>
    <w:rsid w:val="00A94525"/>
    <w:rsid w:val="00AC2273"/>
    <w:rsid w:val="00B603A3"/>
    <w:rsid w:val="00B80604"/>
    <w:rsid w:val="00CC02C7"/>
    <w:rsid w:val="00CE4348"/>
    <w:rsid w:val="00D27C3A"/>
    <w:rsid w:val="00DF318A"/>
    <w:rsid w:val="00E073BD"/>
    <w:rsid w:val="00E41C89"/>
    <w:rsid w:val="00FC0CA0"/>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4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80604"/>
    <w:pPr>
      <w:ind w:leftChars="2500" w:left="100"/>
    </w:pPr>
  </w:style>
  <w:style w:type="character" w:customStyle="1" w:styleId="Char">
    <w:name w:val="日期 Char"/>
    <w:basedOn w:val="a0"/>
    <w:link w:val="a3"/>
    <w:uiPriority w:val="99"/>
    <w:semiHidden/>
    <w:rsid w:val="00B80604"/>
  </w:style>
  <w:style w:type="table" w:styleId="a4">
    <w:name w:val="Table Grid"/>
    <w:basedOn w:val="a1"/>
    <w:uiPriority w:val="59"/>
    <w:rsid w:val="00B8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10A66"/>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710A66"/>
    <w:rPr>
      <w:sz w:val="18"/>
      <w:szCs w:val="18"/>
    </w:rPr>
  </w:style>
  <w:style w:type="paragraph" w:styleId="a7">
    <w:name w:val="footer"/>
    <w:basedOn w:val="a"/>
    <w:link w:val="a8"/>
    <w:uiPriority w:val="99"/>
    <w:semiHidden/>
    <w:unhideWhenUsed/>
    <w:rsid w:val="00710A66"/>
    <w:pPr>
      <w:tabs>
        <w:tab w:val="center" w:pos="4153"/>
        <w:tab w:val="right" w:pos="8306"/>
      </w:tabs>
      <w:snapToGrid w:val="0"/>
      <w:jc w:val="left"/>
    </w:pPr>
    <w:rPr>
      <w:sz w:val="18"/>
      <w:szCs w:val="18"/>
    </w:rPr>
  </w:style>
  <w:style w:type="character" w:customStyle="1" w:styleId="a8">
    <w:name w:val="页脚字符"/>
    <w:basedOn w:val="a0"/>
    <w:link w:val="a7"/>
    <w:uiPriority w:val="99"/>
    <w:semiHidden/>
    <w:rsid w:val="00710A66"/>
    <w:rPr>
      <w:sz w:val="18"/>
      <w:szCs w:val="18"/>
    </w:rPr>
  </w:style>
  <w:style w:type="paragraph" w:customStyle="1" w:styleId="TableParagraph">
    <w:name w:val="Table Paragraph"/>
    <w:basedOn w:val="a"/>
    <w:uiPriority w:val="1"/>
    <w:qFormat/>
    <w:rsid w:val="0037170E"/>
    <w:pPr>
      <w:jc w:val="left"/>
    </w:pPr>
    <w:rPr>
      <w:kern w:val="0"/>
      <w:sz w:val="22"/>
      <w:lang w:eastAsia="en-US"/>
    </w:rPr>
  </w:style>
  <w:style w:type="paragraph" w:customStyle="1" w:styleId="BodyA">
    <w:name w:val="Body A"/>
    <w:rsid w:val="0037170E"/>
    <w:rPr>
      <w:rFonts w:ascii="Helvetica" w:eastAsia="ヒラギノ角ゴ Pro W3" w:hAnsi="Helvetica"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3218">
      <w:bodyDiv w:val="1"/>
      <w:marLeft w:val="0"/>
      <w:marRight w:val="0"/>
      <w:marTop w:val="0"/>
      <w:marBottom w:val="0"/>
      <w:divBdr>
        <w:top w:val="none" w:sz="0" w:space="0" w:color="auto"/>
        <w:left w:val="none" w:sz="0" w:space="0" w:color="auto"/>
        <w:bottom w:val="none" w:sz="0" w:space="0" w:color="auto"/>
        <w:right w:val="none" w:sz="0" w:space="0" w:color="auto"/>
      </w:divBdr>
    </w:div>
    <w:div w:id="1426148408">
      <w:bodyDiv w:val="1"/>
      <w:marLeft w:val="0"/>
      <w:marRight w:val="0"/>
      <w:marTop w:val="0"/>
      <w:marBottom w:val="0"/>
      <w:divBdr>
        <w:top w:val="none" w:sz="0" w:space="0" w:color="auto"/>
        <w:left w:val="none" w:sz="0" w:space="0" w:color="auto"/>
        <w:bottom w:val="none" w:sz="0" w:space="0" w:color="auto"/>
        <w:right w:val="none" w:sz="0" w:space="0" w:color="auto"/>
      </w:divBdr>
      <w:divsChild>
        <w:div w:id="484468515">
          <w:marLeft w:val="0"/>
          <w:marRight w:val="0"/>
          <w:marTop w:val="0"/>
          <w:marBottom w:val="0"/>
          <w:divBdr>
            <w:top w:val="none" w:sz="0" w:space="0" w:color="auto"/>
            <w:left w:val="none" w:sz="0" w:space="0" w:color="auto"/>
            <w:bottom w:val="none" w:sz="0" w:space="0" w:color="auto"/>
            <w:right w:val="none" w:sz="0" w:space="0" w:color="auto"/>
          </w:divBdr>
        </w:div>
        <w:div w:id="534663743">
          <w:marLeft w:val="0"/>
          <w:marRight w:val="0"/>
          <w:marTop w:val="0"/>
          <w:marBottom w:val="0"/>
          <w:divBdr>
            <w:top w:val="none" w:sz="0" w:space="0" w:color="auto"/>
            <w:left w:val="none" w:sz="0" w:space="0" w:color="auto"/>
            <w:bottom w:val="none" w:sz="0" w:space="0" w:color="auto"/>
            <w:right w:val="none" w:sz="0" w:space="0" w:color="auto"/>
          </w:divBdr>
          <w:divsChild>
            <w:div w:id="14941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2013</Characters>
  <Application>Microsoft Macintosh Word</Application>
  <DocSecurity>0</DocSecurity>
  <Lines>16</Lines>
  <Paragraphs>4</Paragraphs>
  <ScaleCrop>false</ScaleCrop>
  <Company>BSC</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wsy</dc:creator>
  <cp:keywords/>
  <dc:description/>
  <cp:lastModifiedBy>Helen XU</cp:lastModifiedBy>
  <cp:revision>3</cp:revision>
  <cp:lastPrinted>2017-08-23T07:45:00Z</cp:lastPrinted>
  <dcterms:created xsi:type="dcterms:W3CDTF">2017-08-23T10:10:00Z</dcterms:created>
  <dcterms:modified xsi:type="dcterms:W3CDTF">2017-08-23T10:15:00Z</dcterms:modified>
</cp:coreProperties>
</file>